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Override ContentType="application/vnd.openxmlformats-officedocument.wordprocessingml.header+xml" PartName="/word/header2.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600"/>
        <w:jc w:val="center"/>
      </w:pPr>
      <w:r>
        <w:rPr>
          <w:rFonts w:ascii="Times New Roman" w:cs="Times New Roman" w:eastAsia="Times New Roman" w:hAnsi="Times New Roman"/>
          <w:b/>
          <w:bCs/>
          <w:sz w:val="30"/>
          <w:szCs w:val="30"/>
        </w:rPr>
        <w:t xml:space="preserve">SHISMUN 2026</w:t>
      </w:r>
    </w:p>
    <w:p>
      <w:pPr>
        <w:spacing w:after="500"/>
        <w:jc w:val="center"/>
      </w:pPr>
      <w:r>
        <w:rPr>
          <w:rFonts w:ascii="Times New Roman" w:cs="Times New Roman" w:eastAsia="Times New Roman" w:hAnsi="Times New Roman"/>
          <w:i/>
          <w:iCs/>
          <w:sz w:val="22"/>
          <w:szCs w:val="22"/>
        </w:rPr>
        <w:t xml:space="preserve">Model United Nations Conference</w:t>
      </w:r>
    </w:p>
    <w:p>
      <w:pPr>
        <w:spacing w:after="100" w:before="1000"/>
        <w:jc w:val="center"/>
      </w:pPr>
      <w:r>
        <w:rPr>
          <w:rFonts w:ascii="Times New Roman" w:cs="Times New Roman" w:eastAsia="Times New Roman" w:hAnsi="Times New Roman"/>
          <w:sz w:val="22"/>
          <w:szCs w:val="22"/>
        </w:rPr>
        <w:t xml:space="preserve">COMMITTEE:</w:t>
      </w:r>
    </w:p>
    <w:p>
      <w:pPr>
        <w:spacing w:after="500"/>
        <w:jc w:val="center"/>
      </w:pPr>
      <w:r>
        <w:rPr>
          <w:rFonts w:ascii="Times New Roman" w:cs="Times New Roman" w:eastAsia="Times New Roman" w:hAnsi="Times New Roman"/>
          <w:b/>
          <w:bCs/>
          <w:sz w:val="36"/>
          <w:szCs w:val="36"/>
        </w:rPr>
        <w:t xml:space="preserve">Aircraft Accident Investigation Bureau</w:t>
      </w:r>
    </w:p>
    <w:p>
      <w:pPr>
        <w:spacing w:after="100" w:before="400"/>
        <w:jc w:val="center"/>
      </w:pPr>
      <w:r>
        <w:rPr>
          <w:rFonts w:ascii="Times New Roman" w:cs="Times New Roman" w:eastAsia="Times New Roman" w:hAnsi="Times New Roman"/>
          <w:sz w:val="22"/>
          <w:szCs w:val="22"/>
        </w:rPr>
        <w:t xml:space="preserve">AGENDA:</w:t>
      </w:r>
    </w:p>
    <w:p>
      <w:pPr>
        <w:spacing w:after="900"/>
        <w:jc w:val="center"/>
      </w:pPr>
      <w:r>
        <w:rPr>
          <w:rFonts w:ascii="Times New Roman" w:cs="Times New Roman" w:eastAsia="Times New Roman" w:hAnsi="Times New Roman"/>
          <w:b/>
          <w:bCs/>
          <w:sz w:val="28"/>
          <w:szCs w:val="28"/>
        </w:rPr>
        <w:t xml:space="preserve">Investigation into the 2025 Air India Flight AI171 Crash</w:t>
      </w:r>
    </w:p>
    <w:p>
      <w:pPr>
        <w:spacing w:after="900" w:before="300"/>
        <w:jc w:val="center"/>
      </w:pPr>
      <w:r>
        <w:rPr>
          <w:rFonts w:ascii="Times New Roman" w:cs="Times New Roman" w:eastAsia="Times New Roman" w:hAnsi="Times New Roman"/>
          <w:sz w:val="26"/>
          <w:szCs w:val="26"/>
        </w:rPr>
        <w:t xml:space="preserve">BACKGROUND GUIDE</w:t>
      </w:r>
    </w:p>
    <w:p>
      <w:pPr>
        <w:spacing w:before="1800"/>
        <w:jc w:val="center"/>
      </w:pPr>
      <w:r>
        <w:rPr>
          <w:rFonts w:ascii="Times New Roman" w:cs="Times New Roman" w:eastAsia="Times New Roman" w:hAnsi="Times New Roman"/>
          <w:sz w:val="22"/>
          <w:szCs w:val="22"/>
        </w:rPr>
        <w:t xml:space="preserve">Prepared by the Chair</w:t>
      </w:r>
    </w:p>
    <w:p>
      <w:pPr>
        <w:spacing w:before="60"/>
        <w:jc w:val="center"/>
      </w:pPr>
      <w:r>
        <w:rPr>
          <w:rFonts w:ascii="Times New Roman" w:cs="Times New Roman" w:eastAsia="Times New Roman" w:hAnsi="Times New Roman"/>
          <w:b/>
          <w:bCs/>
          <w:sz w:val="24"/>
          <w:szCs w:val="24"/>
        </w:rPr>
        <w:t xml:space="preserve">Sahil</w:t>
      </w:r>
    </w:p>
    <w:p>
      <w:pPr>
        <w:spacing w:before="60"/>
        <w:jc w:val="center"/>
      </w:pPr>
      <w:r>
        <w:rPr>
          <w:rFonts w:ascii="Times New Roman" w:cs="Times New Roman" w:eastAsia="Times New Roman" w:hAnsi="Times New Roman"/>
          <w:sz w:val="24"/>
          <w:szCs w:val="24"/>
        </w:rPr>
        <w:t xml:space="preserve">Saksham</w:t>
      </w:r>
    </w:p>
    <w:p>
      <w:pPr>
        <w:spacing w:before="1400"/>
        <w:jc w:val="center"/>
      </w:pPr>
      <w:r>
        <w:rPr>
          <w:rFonts w:ascii="Times New Roman" w:cs="Times New Roman" w:eastAsia="Times New Roman" w:hAnsi="Times New Roman"/>
          <w:i/>
          <w:iCs/>
          <w:sz w:val="20"/>
          <w:szCs w:val="20"/>
        </w:rPr>
        <w:t xml:space="preserve">In memory of the 260 people who lost their lives on 12 June 2025.</w:t>
      </w:r>
    </w:p>
    <w:p>
      <w:pPr>
        <w:sectPr>
          <w:pgSz w:w="12240" w:h="15840" w:orient="portrait"/>
          <w:pgMar w:top="1440" w:right="1440" w:bottom="1440" w:left="1440" w:header="708" w:footer="708" w:gutter="0"/>
          <w:pgNumType/>
          <w:docGrid w:linePitch="360"/>
        </w:sectPr>
      </w:pPr>
    </w:p>
    <w:p>
      <w:pPr>
        <w:pStyle w:val="Heading1"/>
        <w:spacing w:after="180" w:before="360"/>
      </w:pPr>
      <w:r>
        <w:rPr>
          <w:rFonts w:ascii="Times New Roman" w:cs="Times New Roman" w:eastAsia="Times New Roman" w:hAnsi="Times New Roman"/>
          <w:b/>
          <w:bCs/>
          <w:sz w:val="28"/>
          <w:szCs w:val="28"/>
          <w:u w:val="single"/>
        </w:rPr>
        <w:t xml:space="preserve">Letter from the Chair</w:t>
      </w:r>
    </w:p>
    <w:p>
      <w:pPr>
        <w:spacing w:after="200" w:line="336"/>
        <w:jc w:val="both"/>
      </w:pPr>
      <w:r>
        <w:rPr>
          <w:rFonts w:ascii="Times New Roman" w:cs="Times New Roman" w:eastAsia="Times New Roman" w:hAnsi="Times New Roman"/>
          <w:sz w:val="24"/>
          <w:szCs w:val="24"/>
        </w:rPr>
        <w:t xml:space="preserve">Dear Delegates,</w:t>
      </w:r>
    </w:p>
    <w:p>
      <w:pPr>
        <w:spacing w:after="200" w:line="336"/>
        <w:ind w:firstLine="360"/>
        <w:jc w:val="both"/>
      </w:pPr>
      <w:r>
        <w:rPr>
          <w:rFonts w:ascii="Times New Roman" w:cs="Times New Roman" w:eastAsia="Times New Roman" w:hAnsi="Times New Roman"/>
          <w:sz w:val="24"/>
          <w:szCs w:val="24"/>
        </w:rPr>
        <w:t xml:space="preserve">Welcome to the Aircraft Accident Investigation Bureau at SHISMUN 2026. Of all the committees at this conference, this one asks the most of you technically, and We want to be upfront about that from the first page of this guide rather than let you discover it in committee. We are not simulating a debate about policy preferences or ideology. We are simulating an actual accident investigation, of the kind that is, at the time We are writing this, still open and unfinished in real life. That means the standard We are holding ourselves to is evidentiary, not rhetorical. If a delegate makes a claim in committee, We will expect them to be able to say where it comes from and how confident the underlying source actually is, and We will push on that in moderated caucus.</w:t>
      </w:r>
    </w:p>
    <w:p>
      <w:pPr>
        <w:spacing w:after="200" w:line="336"/>
        <w:ind w:firstLine="360"/>
        <w:jc w:val="both"/>
      </w:pPr>
      <w:r>
        <w:rPr>
          <w:rFonts w:ascii="Times New Roman" w:cs="Times New Roman" w:eastAsia="Times New Roman" w:hAnsi="Times New Roman"/>
          <w:sz w:val="24"/>
          <w:szCs w:val="24"/>
        </w:rPr>
        <w:t xml:space="preserve">The subject we are dealing with, the crash of Air India Flight AI171 on 12 June 2025, killed 260 people. Two hundred and forty-one of the 242 people on board the aircraft died, along with 19 people on the ground at B.J. Medical College in Ahmedabad. It is the worst aviation disaster involving an Indian carrier in more than two decades, and it is the first fatal hull-loss accident of the Boeing 787 programme since the type entered service in 2011. Given the scale of this and given that the flight crew who are at the centre of a great deal of public speculation are among the dead and cannot answer for themselves, We are asking every delegate, whichever delegation you are assigned, to treat this with the seriousness it deserves. This committee has no mandate to convict anyone of anything. Our job, like the AAIB's real job, is prevention: working out what allowed this to happen and what should change so it does not happen again.</w:t>
      </w:r>
    </w:p>
    <w:p>
      <w:pPr>
        <w:spacing w:after="200" w:line="336"/>
        <w:ind w:firstLine="360"/>
        <w:jc w:val="both"/>
      </w:pPr>
      <w:r>
        <w:rPr>
          <w:rFonts w:ascii="Times New Roman" w:cs="Times New Roman" w:eastAsia="Times New Roman" w:hAnsi="Times New Roman"/>
          <w:sz w:val="24"/>
          <w:szCs w:val="24"/>
        </w:rPr>
        <w:t xml:space="preserve">What We want from you is technical fluency. We want delegates who can explain, in their own words and without notes, how a fuel control switch on a 787 is guarded against accidental movement, what FADEC actually does, why the Ram Air Turbine deployed, and what TCMA logic is and why it has become part of this conversation. We want delegates who know the difference between what the AAIB's preliminary report actually says and what news coverage has said about it, because those two things are not the same, and conflating them is the single most common mistake We expect to see in this room. This guide gives you a running start on all of that, but it is a starting point, and We will be able to tell within the first speaker's list who has gone further than it and who has not.</w:t>
      </w:r>
    </w:p>
    <w:p>
      <w:pPr>
        <w:spacing w:after="200" w:line="336"/>
        <w:jc w:val="both"/>
      </w:pPr>
      <w:r>
        <w:rPr>
          <w:rFonts w:ascii="Times New Roman" w:cs="Times New Roman" w:eastAsia="Times New Roman" w:hAnsi="Times New Roman"/>
          <w:sz w:val="24"/>
          <w:szCs w:val="24"/>
        </w:rPr>
        <w:t xml:space="preserve">We are looking forward to a rigorous, well-prepared, and respectful committee.</w:t>
      </w:r>
    </w:p>
    <w:p>
      <w:pPr>
        <w:spacing w:after="200" w:line="336"/>
        <w:jc w:val="both"/>
      </w:pPr>
      <w:r>
        <w:rPr>
          <w:rFonts w:ascii="Times New Roman" w:cs="Times New Roman" w:eastAsia="Times New Roman" w:hAnsi="Times New Roman"/>
          <w:b/>
          <w:bCs/>
          <w:sz w:val="24"/>
          <w:szCs w:val="24"/>
        </w:rPr>
        <w:t xml:space="preserve">Sahil</w:t>
      </w:r>
    </w:p>
    <w:p>
      <w:pPr>
        <w:spacing w:after="200" w:line="336"/>
        <w:jc w:val="both"/>
      </w:pPr>
      <w:r>
        <w:rPr>
          <w:rFonts w:ascii="Times New Roman" w:cs="Times New Roman" w:eastAsia="Times New Roman" w:hAnsi="Times New Roman"/>
          <w:sz w:val="24"/>
          <w:szCs w:val="24"/>
        </w:rPr>
        <w:t xml:space="preserve">Saksham</w:t>
      </w:r>
    </w:p>
    <w:p>
      <w:pPr>
        <w:spacing w:after="200" w:line="336"/>
        <w:jc w:val="both"/>
      </w:pPr>
      <w:r>
        <w:rPr>
          <w:rFonts w:ascii="Times New Roman" w:cs="Times New Roman" w:eastAsia="Times New Roman" w:hAnsi="Times New Roman"/>
          <w:sz w:val="24"/>
          <w:szCs w:val="24"/>
        </w:rPr>
        <w:t xml:space="preserve">Chairperson, Vice Chairperson, Aircraft Accident Investigation Bureau, SHISMUN 2026</w:t>
      </w:r>
    </w:p>
    <w:p>
      <w:r>
        <w:br w:type="page"/>
      </w:r>
    </w:p>
    <w:p>
      <w:pPr>
        <w:pStyle w:val="Heading1"/>
        <w:spacing w:after="180" w:before="360"/>
      </w:pPr>
      <w:r>
        <w:rPr>
          <w:rFonts w:ascii="Times New Roman" w:cs="Times New Roman" w:eastAsia="Times New Roman" w:hAnsi="Times New Roman"/>
          <w:b/>
          <w:bCs/>
          <w:sz w:val="28"/>
          <w:szCs w:val="28"/>
          <w:u w:val="single"/>
        </w:rPr>
        <w:t xml:space="preserve">Table of Contents</w:t>
      </w:r>
    </w:p>
    <w:sdt>
      <w:sdtPr>
        <w:alias w:val="Table of Contents"/>
      </w:sdtPr>
      <w:sdtContent>
        <w:p>
          <w:r>
            <w:fldChar w:fldCharType="begin" w:dirty="true"/>
            <w:instrText xml:space="preserve">TOC \h \o "1-1"</w:instrText>
            <w:fldChar w:fldCharType="separate"/>
          </w:r>
        </w:p>
        <w:p>
          <w:r>
            <w:fldChar w:fldCharType="end"/>
          </w:r>
        </w:p>
      </w:sdtContent>
    </w:sdt>
    <w:p>
      <w:pPr>
        <w:sectPr>
          <w:headerReference w:type="default" r:id="rId7"/>
          <w:footerReference w:type="default" r:id="rId8"/>
          <w:pgSz w:w="12240" w:h="15840" w:orient="portrait"/>
          <w:pgMar w:top="1440" w:right="1440" w:bottom="1440" w:left="1440" w:header="708" w:footer="708" w:gutter="0"/>
          <w:pgNumType/>
          <w:docGrid w:linePitch="360"/>
        </w:sectPr>
      </w:pPr>
    </w:p>
    <w:p>
      <w:pPr>
        <w:pStyle w:val="Heading1"/>
        <w:spacing w:after="180" w:before="360"/>
      </w:pPr>
      <w:r>
        <w:rPr>
          <w:rFonts w:ascii="Times New Roman" w:cs="Times New Roman" w:eastAsia="Times New Roman" w:hAnsi="Times New Roman"/>
          <w:b/>
          <w:bCs/>
          <w:sz w:val="28"/>
          <w:szCs w:val="28"/>
          <w:u w:val="single"/>
        </w:rPr>
        <w:t xml:space="preserve">1. Introduction to the Committee</w:t>
      </w:r>
    </w:p>
    <w:p>
      <w:pPr>
        <w:pStyle w:val="Heading2"/>
        <w:spacing w:after="120" w:before="260"/>
      </w:pPr>
      <w:r>
        <w:rPr>
          <w:rFonts w:ascii="Times New Roman" w:cs="Times New Roman" w:eastAsia="Times New Roman" w:hAnsi="Times New Roman"/>
          <w:b/>
          <w:bCs/>
          <w:sz w:val="24"/>
          <w:szCs w:val="24"/>
        </w:rPr>
        <w:t xml:space="preserve">1.1 What the AAIB Is</w:t>
      </w:r>
    </w:p>
    <w:p>
      <w:pPr>
        <w:spacing w:after="200" w:line="336"/>
        <w:ind w:firstLine="360"/>
        <w:jc w:val="both"/>
      </w:pPr>
      <w:r>
        <w:rPr>
          <w:rFonts w:ascii="Times New Roman" w:cs="Times New Roman" w:eastAsia="Times New Roman" w:hAnsi="Times New Roman"/>
          <w:sz w:val="24"/>
          <w:szCs w:val="24"/>
        </w:rPr>
        <w:t xml:space="preserve">The Aircraft Accident Investigation Bureau is India's independent statutory body for investigating civil aviation accidents and serious incidents. It was carved out as a stand-alone organisation under the Aircraft (Investigation of Accidents and Incidents) Rules, 2017, and it sits within the Ministry of Civil Aviation but is kept structurally separate from the Directorate General of Civil Aviation, which is India's day-to-day safety regulator. That separation is deliberate. If the same authority both certified an aircraft type or an operator's procedures and then investigated an accident involving that same certification, it would effectively be marking its own homework. Most mature aviation systems, including the United States (where the NTSB is separate from the FAA) and the United Kingdom (where the AAIB, confusingly sharing an acronym with India's own body, is separate from the Civil Aviation Authority), follow the same principle.</w:t>
      </w:r>
    </w:p>
    <w:p>
      <w:pPr>
        <w:spacing w:after="200" w:line="336"/>
        <w:ind w:firstLine="360"/>
        <w:jc w:val="both"/>
      </w:pPr>
      <w:r>
        <w:rPr>
          <w:rFonts w:ascii="Times New Roman" w:cs="Times New Roman" w:eastAsia="Times New Roman" w:hAnsi="Times New Roman"/>
          <w:sz w:val="24"/>
          <w:szCs w:val="24"/>
        </w:rPr>
        <w:t xml:space="preserve">Before 2017, accident investigation in India was handled more informally within the DGCA's own structure, and this was repeatedly flagged, including by ICAO audits, as a weakness. The 2017 Rules were partly a response to that criticism, bringing India's framework more fully in line with Annex 13 to the Chicago Convention, which is the instrument that actually governs how this whole process is supposed to work internationally.</w:t>
      </w:r>
    </w:p>
    <w:p>
      <w:pPr>
        <w:pStyle w:val="Heading2"/>
        <w:spacing w:after="120" w:before="260"/>
      </w:pPr>
      <w:r>
        <w:rPr>
          <w:rFonts w:ascii="Times New Roman" w:cs="Times New Roman" w:eastAsia="Times New Roman" w:hAnsi="Times New Roman"/>
          <w:b/>
          <w:bCs/>
          <w:sz w:val="24"/>
          <w:szCs w:val="24"/>
        </w:rPr>
        <w:t xml:space="preserve">1.2 The Non-Attribution Principle</w:t>
      </w:r>
    </w:p>
    <w:p>
      <w:pPr>
        <w:spacing w:after="200" w:line="336"/>
        <w:ind w:firstLine="360"/>
        <w:jc w:val="both"/>
      </w:pPr>
      <w:r>
        <w:rPr>
          <w:rFonts w:ascii="Times New Roman" w:cs="Times New Roman" w:eastAsia="Times New Roman" w:hAnsi="Times New Roman"/>
          <w:sz w:val="24"/>
          <w:szCs w:val="24"/>
        </w:rPr>
        <w:t xml:space="preserve">Paragraph 3.1 of Annex 13 states plainly that the objective of an accident investigation is the prevention of accidents and incidents, and that it is not the purpose of this activity to apportion blame or liability. This sounds like a technicality, but it shapes the whole culture of how these investigations are run. Investigators rely heavily on cooperation: pilots, engineers, and airline staff who might otherwise fear self-incrimination are, at least in principle, more willing to speak candidly to accident investigators than to police or courts, because the investigation's stated purpose is not to punish them. Delegates should hold onto this principle throughout the committee. It is not our job to decide, in this room, whether a named individual is guilty of anything. It is our job to work out what allowed the sequence of events to occur and to recommend how to stop it happening again.</w:t>
      </w:r>
    </w:p>
    <w:p>
      <w:pPr>
        <w:pStyle w:val="Heading2"/>
        <w:spacing w:after="120" w:before="260"/>
      </w:pPr>
      <w:r>
        <w:rPr>
          <w:rFonts w:ascii="Times New Roman" w:cs="Times New Roman" w:eastAsia="Times New Roman" w:hAnsi="Times New Roman"/>
          <w:b/>
          <w:bCs/>
          <w:sz w:val="24"/>
          <w:szCs w:val="24"/>
        </w:rPr>
        <w:t xml:space="preserve">1.3 How This Committee Will Run</w:t>
      </w:r>
    </w:p>
    <w:p>
      <w:pPr>
        <w:spacing w:after="200" w:line="336"/>
        <w:ind w:firstLine="360"/>
        <w:jc w:val="both"/>
      </w:pPr>
      <w:r>
        <w:rPr>
          <w:rFonts w:ascii="Times New Roman" w:cs="Times New Roman" w:eastAsia="Times New Roman" w:hAnsi="Times New Roman"/>
          <w:sz w:val="24"/>
          <w:szCs w:val="24"/>
        </w:rPr>
        <w:t xml:space="preserve">Delegates will be assigned to one of the stakeholder delegations described later in this guide (Section 10). Rather than debating a resolution in the classical General Assembly sense, this committee will function closer to a joint fact-finding panel: reviewing the timeline and evidence base, questioning the technical claims raised by other delegations, and ultimately drafting a set of safety recommendations that could plausibly appear in the safety recommendations section of a real Annex 13 final report. Ordinary Rules of Procedure will still apply — moderated and unmoderated caucuses, points and motions, and eventually working papers moving toward a draft resolution — but We will be pushing discussion toward technical specificity rather than generic statements of concern.</w:t>
      </w:r>
    </w:p>
    <w:p>
      <w:pPr>
        <w:pStyle w:val="Heading1"/>
        <w:spacing w:after="180" w:before="360"/>
      </w:pPr>
      <w:r>
        <w:rPr>
          <w:rFonts w:ascii="Times New Roman" w:cs="Times New Roman" w:eastAsia="Times New Roman" w:hAnsi="Times New Roman"/>
          <w:b/>
          <w:bCs/>
          <w:sz w:val="28"/>
          <w:szCs w:val="28"/>
          <w:u w:val="single"/>
        </w:rPr>
        <w:t xml:space="preserve">2. Introduction to the Agenda</w:t>
      </w:r>
    </w:p>
    <w:p>
      <w:pPr>
        <w:spacing w:after="200" w:line="336"/>
        <w:ind w:firstLine="360"/>
        <w:jc w:val="both"/>
      </w:pPr>
      <w:r>
        <w:rPr>
          <w:rFonts w:ascii="Times New Roman" w:cs="Times New Roman" w:eastAsia="Times New Roman" w:hAnsi="Times New Roman"/>
          <w:sz w:val="24"/>
          <w:szCs w:val="24"/>
        </w:rPr>
        <w:t xml:space="preserve">On 12 June 2025, Air India Flight AI171, a Boeing 787-8 Dreamliner registered VT-ANB, took off from Ahmedabad's Sardar Vallabhbhai Patel International Airport bound for London Gatwick. Around thirty-two seconds after liftoff, the aircraft came down onto the hostel and dining block of B.J. Medical College and Hospital, a little over a kilometre and a half beyond the runway. Of the 242 people aboard, 241 died; a single passenger, seated near an emergency exit, survived. A further 19 people on the ground were killed and 67 injured, most of them at the medical college. The total death toll of 260 makes this the deadliest accident involving an Indian-registered aircraft since the 1996 mid-air collision at Charkhi Dadri, and it is the first fatal hull-loss accident anywhere in the world involving the Boeing 787 family since that aircraft entered commercial service in 2011.</w:t>
      </w:r>
    </w:p>
    <w:p>
      <w:pPr>
        <w:spacing w:after="200" w:line="336"/>
        <w:ind w:firstLine="360"/>
        <w:jc w:val="both"/>
      </w:pPr>
      <w:r>
        <w:rPr>
          <w:rFonts w:ascii="Times New Roman" w:cs="Times New Roman" w:eastAsia="Times New Roman" w:hAnsi="Times New Roman"/>
          <w:sz w:val="24"/>
          <w:szCs w:val="24"/>
        </w:rPr>
        <w:t xml:space="preserve">The reason this agenda has drawn such intense international attention is not only the death toll. It is that the preliminary findings, released a month after the accident, describe something that is not supposed to be able to happen by accident: both engine fuel switches moving to the cutoff position, one after another, moments after takeoff, on an aircraft with mechanically guarded switches specifically designed to prevent that kind of inadvertent movement. The preliminary report records what happened without saying why, and that gap between the recorded facts and their explanation is exactly the space this committee will be working in.</w:t>
      </w:r>
    </w:p>
    <w:p>
      <w:pPr>
        <w:pStyle w:val="Heading1"/>
        <w:spacing w:after="180" w:before="360"/>
      </w:pPr>
      <w:r>
        <w:rPr>
          <w:rFonts w:ascii="Times New Roman" w:cs="Times New Roman" w:eastAsia="Times New Roman" w:hAnsi="Times New Roman"/>
          <w:b/>
          <w:bCs/>
          <w:sz w:val="28"/>
          <w:szCs w:val="28"/>
          <w:u w:val="single"/>
        </w:rPr>
        <w:t xml:space="preserve">3. Historical Context</w:t>
      </w:r>
    </w:p>
    <w:p>
      <w:pPr>
        <w:pStyle w:val="Heading2"/>
        <w:spacing w:after="120" w:before="260"/>
      </w:pPr>
      <w:r>
        <w:rPr>
          <w:rFonts w:ascii="Times New Roman" w:cs="Times New Roman" w:eastAsia="Times New Roman" w:hAnsi="Times New Roman"/>
          <w:b/>
          <w:bCs/>
          <w:sz w:val="24"/>
          <w:szCs w:val="24"/>
        </w:rPr>
        <w:t xml:space="preserve">3.1 Aviation Safety in India</w:t>
      </w:r>
    </w:p>
    <w:p>
      <w:pPr>
        <w:spacing w:after="200" w:line="336"/>
        <w:ind w:firstLine="360"/>
        <w:jc w:val="both"/>
      </w:pPr>
      <w:r>
        <w:rPr>
          <w:rFonts w:ascii="Times New Roman" w:cs="Times New Roman" w:eastAsia="Times New Roman" w:hAnsi="Times New Roman"/>
          <w:sz w:val="24"/>
          <w:szCs w:val="24"/>
        </w:rPr>
        <w:t xml:space="preserve">India's civil aviation sector has expanded enormously over the past two decades, and its safety record has broadly improved alongside that growth, but it has not been without serious accidents. The 2010 crash of Air India Express Flight 812 at Mangalore, in which the aircraft overran the runway on landing and killed 158 people, and the 2020 crash of Air India Express Flight 1344 at Kozhikode, which overran a table-top runway in heavy rain and killed 21 people, are both still referenced in Indian aviation-safety discourse as prior cases where investigators pointed to a mix of procedural and human-factors issues. Neither of those accidents involved the kind of engine or fuel-system question raised by AI171, but delegates researching India's regulatory response to past accidents will find useful comparative material in how the AAIB and DGCA acted on the recommendations from those two investigations.</w:t>
      </w:r>
    </w:p>
    <w:p>
      <w:pPr>
        <w:pStyle w:val="Heading2"/>
        <w:spacing w:after="120" w:before="260"/>
      </w:pPr>
      <w:r>
        <w:rPr>
          <w:rFonts w:ascii="Times New Roman" w:cs="Times New Roman" w:eastAsia="Times New Roman" w:hAnsi="Times New Roman"/>
          <w:b/>
          <w:bCs/>
          <w:sz w:val="24"/>
          <w:szCs w:val="24"/>
        </w:rPr>
        <w:t xml:space="preserve">3.2 The Boeing 787 Programme</w:t>
      </w:r>
    </w:p>
    <w:p>
      <w:pPr>
        <w:spacing w:after="200" w:line="336"/>
        <w:ind w:firstLine="360"/>
        <w:jc w:val="both"/>
      </w:pPr>
      <w:r>
        <w:rPr>
          <w:rFonts w:ascii="Times New Roman" w:cs="Times New Roman" w:eastAsia="Times New Roman" w:hAnsi="Times New Roman"/>
          <w:sz w:val="24"/>
          <w:szCs w:val="24"/>
        </w:rPr>
        <w:t xml:space="preserve">The 787 Dreamliner was Boeing's first clean-sheet wide-body design in over a decade when it entered service in 2011, notable for its extensive use of carbon-fibre composite structure and a far more electrically dependent architecture than earlier generations of aircraft, replacing much of the pneumatic and hydraulic systems found on older designs. Its early service life was marked by a well-known 2013 grounding of the entire global fleet after lithium-ion battery fires aboard two aircraft, which the FAA and other regulators resolved through a redesigned battery containment system rather than a change to the battery chemistry itself. Aside from that grounding, the 787 had, prior to AI171, one of the strongest safety records of any wide-body programme in commercial service, which is part of why this accident was so significant a shock to the industry.</w:t>
      </w:r>
    </w:p>
    <w:p>
      <w:pPr>
        <w:pStyle w:val="Heading2"/>
        <w:spacing w:after="120" w:before="260"/>
      </w:pPr>
      <w:r>
        <w:rPr>
          <w:rFonts w:ascii="Times New Roman" w:cs="Times New Roman" w:eastAsia="Times New Roman" w:hAnsi="Times New Roman"/>
          <w:b/>
          <w:bCs/>
          <w:sz w:val="24"/>
          <w:szCs w:val="24"/>
        </w:rPr>
        <w:t xml:space="preserve">3.3 Automation and Human Factors: The MCAS Comparison</w:t>
      </w:r>
    </w:p>
    <w:p>
      <w:pPr>
        <w:spacing w:after="200" w:line="336"/>
        <w:ind w:firstLine="360"/>
        <w:jc w:val="both"/>
      </w:pPr>
      <w:r>
        <w:rPr>
          <w:rFonts w:ascii="Times New Roman" w:cs="Times New Roman" w:eastAsia="Times New Roman" w:hAnsi="Times New Roman"/>
          <w:sz w:val="24"/>
          <w:szCs w:val="24"/>
        </w:rPr>
        <w:t xml:space="preserve">Delegates researching the TCMA question raised by this accident (Section 4.4) will find it useful to look at the 2018 and 2019 crashes of Lion Air Flight 610 and Ethiopian Airlines Flight 302, both involving the Boeing 737 MAX, in which a flight-control automation system known as MCAS repeatedly and erroneously commanded aircraft nose-down inputs based on faulty sensor data, ultimately contributing to both accidents. That episode is widely cited in aviation-safety circles as a case study in how automated protection logic, introduced with good intentions, can become dangerous if its failure modes and its interaction with the flight crew are not properly understood, tested, and disclosed. It is not being suggested that TCMA and MCAS are the same system or function the same way, and delegates should not treat the comparison as evidence of what caused AI171. It is offered here only as background on why automated engine and flight-control logic has become such a closely scrutinised area of aviation safety over the past decade, and why regulators worldwide are now more sceptical by default of any hidden-automation explanation for an accident sequence.</w:t>
      </w:r>
    </w:p>
    <w:p>
      <w:pPr>
        <w:pStyle w:val="Heading1"/>
        <w:spacing w:after="180" w:before="360"/>
      </w:pPr>
      <w:r>
        <w:rPr>
          <w:rFonts w:ascii="Times New Roman" w:cs="Times New Roman" w:eastAsia="Times New Roman" w:hAnsi="Times New Roman"/>
          <w:b/>
          <w:bCs/>
          <w:sz w:val="28"/>
          <w:szCs w:val="28"/>
          <w:u w:val="single"/>
        </w:rPr>
        <w:t xml:space="preserve">4. Technical Background: Aircraft and Systems</w:t>
      </w:r>
    </w:p>
    <w:p>
      <w:pPr>
        <w:pStyle w:val="Heading2"/>
        <w:spacing w:after="120" w:before="260"/>
      </w:pPr>
      <w:r>
        <w:rPr>
          <w:rFonts w:ascii="Times New Roman" w:cs="Times New Roman" w:eastAsia="Times New Roman" w:hAnsi="Times New Roman"/>
          <w:b/>
          <w:bCs/>
          <w:sz w:val="24"/>
          <w:szCs w:val="24"/>
        </w:rPr>
        <w:t xml:space="preserve">4.1 The Aircraft and Its Engines</w:t>
      </w:r>
    </w:p>
    <w:p>
      <w:pPr>
        <w:spacing w:after="200" w:line="336"/>
        <w:ind w:firstLine="360"/>
        <w:jc w:val="both"/>
      </w:pPr>
      <w:r>
        <w:rPr>
          <w:rFonts w:ascii="Times New Roman" w:cs="Times New Roman" w:eastAsia="Times New Roman" w:hAnsi="Times New Roman"/>
          <w:sz w:val="24"/>
          <w:szCs w:val="24"/>
        </w:rPr>
        <w:t xml:space="preserve">VT-ANB was a Boeing 787-8, the shortest variant in the Dreamliner family, fitted with two General Electric GEnx-1B turbofan engines. The GEnx family is also used on the 747-8 and is a high-bypass turbofan incorporating a composite fan case and blades, intended to deliver meaningfully better fuel efficiency than the engines it was designed to replace. At the time of the accident the aircraft's recorded takeoff weight, around 213,401 kilograms, and its fuel load, around 54,200 kilograms, were both within the aircraft's certificated operating limits, and the weather at Ahmedabad was clear with good visibility, which investigators have used to rule out weight, balance, and weather as contributing factors.</w:t>
      </w:r>
    </w:p>
    <w:p>
      <w:pPr>
        <w:pStyle w:val="Heading2"/>
        <w:spacing w:after="120" w:before="260"/>
      </w:pPr>
      <w:r>
        <w:rPr>
          <w:rFonts w:ascii="Times New Roman" w:cs="Times New Roman" w:eastAsia="Times New Roman" w:hAnsi="Times New Roman"/>
          <w:b/>
          <w:bCs/>
          <w:sz w:val="24"/>
          <w:szCs w:val="24"/>
        </w:rPr>
        <w:t xml:space="preserve">4.2 Fuel Control Switches</w:t>
      </w:r>
    </w:p>
    <w:p>
      <w:pPr>
        <w:spacing w:after="200" w:line="336"/>
        <w:ind w:firstLine="360"/>
        <w:jc w:val="both"/>
      </w:pPr>
      <w:r>
        <w:rPr>
          <w:rFonts w:ascii="Times New Roman" w:cs="Times New Roman" w:eastAsia="Times New Roman" w:hAnsi="Times New Roman"/>
          <w:sz w:val="24"/>
          <w:szCs w:val="24"/>
        </w:rPr>
        <w:t xml:space="preserve">Each engine on the 787 has its own fuel control switch on the centre console between the two pilots, with two positions, RUN and CUTOFF. These are not simple toggle switches. They sit in a spring-loaded bracket that requires a pilot to lift the switch slightly before it can be moved between detents, a design feature intended specifically to prevent the switch from being bumped or moved unintentionally, whether by a hand, a checklist, or loose equipment. Moving a switch to CUTOFF is the normal, deliberate way to shut an engine down on the ground or in a genuine in-flight emergency such as an engine fire; it commands the fuel metering valve closed and tells the engine's electronic control to stop fuel and ignition. Because of the guarded, detented design, an accidental movement of even one switch is considered highly improbable under normal certification assumptions, which is precisely why both switches moving within about a second of each other, so soon after liftoff, is the central and still-unexplained fact at the heart of this investigation.</w:t>
      </w:r>
    </w:p>
    <w:p>
      <w:pPr>
        <w:pStyle w:val="Heading2"/>
        <w:spacing w:after="120" w:before="260"/>
      </w:pPr>
      <w:r>
        <w:rPr>
          <w:rFonts w:ascii="Times New Roman" w:cs="Times New Roman" w:eastAsia="Times New Roman" w:hAnsi="Times New Roman"/>
          <w:b/>
          <w:bCs/>
          <w:sz w:val="24"/>
          <w:szCs w:val="24"/>
        </w:rPr>
        <w:t xml:space="preserve">4.3 FADEC: Full Authority Digital Engine Control</w:t>
      </w:r>
    </w:p>
    <w:p>
      <w:pPr>
        <w:spacing w:after="200" w:line="336"/>
        <w:ind w:firstLine="360"/>
        <w:jc w:val="both"/>
      </w:pPr>
      <w:r>
        <w:rPr>
          <w:rFonts w:ascii="Times New Roman" w:cs="Times New Roman" w:eastAsia="Times New Roman" w:hAnsi="Times New Roman"/>
          <w:sz w:val="24"/>
          <w:szCs w:val="24"/>
        </w:rPr>
        <w:t xml:space="preserve">Both engines on the 787 are managed by a Full Authority Digital Engine Control system, commonly called FADEC. Rather than a direct mechanical linkage between the cockpit switch and the engine's fuel valve, FADEC is a computer that receives the pilot's command, cross-checks it against a range of sensor inputs, and then manages fuel flow, ignition, and a wide array of protective functions on its own authority. This is what allows modern jet engines to run so efficiently and reliably, but it also means that understanding any anomaly in engine behaviour requires understanding not just the pilot's input but the full logic of what the FADEC itself is programmed to do under different conditions, including conditions the pilots may not directly control.</w:t>
      </w:r>
    </w:p>
    <w:p>
      <w:pPr>
        <w:pStyle w:val="Heading2"/>
        <w:spacing w:after="120" w:before="260"/>
      </w:pPr>
      <w:r>
        <w:rPr>
          <w:rFonts w:ascii="Times New Roman" w:cs="Times New Roman" w:eastAsia="Times New Roman" w:hAnsi="Times New Roman"/>
          <w:b/>
          <w:bCs/>
          <w:sz w:val="24"/>
          <w:szCs w:val="24"/>
        </w:rPr>
        <w:t xml:space="preserve">4.4 Thrust Control Malfunction Accommodation (TCMA)</w:t>
      </w:r>
    </w:p>
    <w:p>
      <w:pPr>
        <w:spacing w:after="200" w:line="336"/>
        <w:ind w:firstLine="360"/>
        <w:jc w:val="both"/>
      </w:pPr>
      <w:r>
        <w:rPr>
          <w:rFonts w:ascii="Times New Roman" w:cs="Times New Roman" w:eastAsia="Times New Roman" w:hAnsi="Times New Roman"/>
          <w:sz w:val="24"/>
          <w:szCs w:val="24"/>
        </w:rPr>
        <w:t xml:space="preserve">TCMA is a protective software function within certain engine control systems, present in some form on the 787's engine options, designed to automatically pull an engine back toward idle, or in some failure scenarios shut it down, if the system's logic concludes the engine is producing dangerous, uncommanded high thrust during specific phases of flight, such as on the ground or shortly after takeoff. The purpose is to prevent a genuine runaway-thrust condition, which is its own serious hazard. Since the AAIB's preliminary report was published, independent aviation-safety analysts and pilot associations have raised TCMA logic as one possible non-human explanation for a near-simultaneous dual-engine shutdown, on the reasoning that if the system's sensors were fed erroneous data, its protective logic could in theory act on both engines close together without any pilot action at all. It is important for delegates to understand that this remains a contested and, as of this guide's preparation, unconfirmed hypothesis. The AAIB has not stated that TCMA was involved, and Boeing and GE Aerospace have not confirmed any such fault. Delegates representing Boeing and GE Aerospace, in particular, should expect to be pressed hard on this point and should prepare a technically credible position rather than a simple denial.</w:t>
      </w:r>
    </w:p>
    <w:p>
      <w:pPr>
        <w:pStyle w:val="Heading2"/>
        <w:spacing w:after="120" w:before="260"/>
      </w:pPr>
      <w:r>
        <w:rPr>
          <w:rFonts w:ascii="Times New Roman" w:cs="Times New Roman" w:eastAsia="Times New Roman" w:hAnsi="Times New Roman"/>
          <w:b/>
          <w:bCs/>
          <w:sz w:val="24"/>
          <w:szCs w:val="24"/>
        </w:rPr>
        <w:t xml:space="preserve">4.5 The Ram Air Turbine</w:t>
      </w:r>
    </w:p>
    <w:p>
      <w:pPr>
        <w:spacing w:after="200" w:line="336"/>
        <w:ind w:firstLine="360"/>
        <w:jc w:val="both"/>
      </w:pPr>
      <w:r>
        <w:rPr>
          <w:rFonts w:ascii="Times New Roman" w:cs="Times New Roman" w:eastAsia="Times New Roman" w:hAnsi="Times New Roman"/>
          <w:sz w:val="24"/>
          <w:szCs w:val="24"/>
        </w:rPr>
        <w:t xml:space="preserve">The Ram Air Turbine, or RAT, is a small propeller-driven generator that deploys automatically from the underside of the fuselage when the aircraft loses most or all of its normal engine-driven electrical and hydraulic power. Its job is not to provide meaningful thrust; it exists purely to keep enough hydraulic pressure and electrical power available for the pilots to retain basic flight control while they attempt to recover the aircraft or prepare for an emergency landing. RAT deployment was observed and recorded in the AI171 sequence, and it is consistent with a genuine, near-simultaneous loss of power from both engines, though on its own it does not tell investigators why that loss of power occurred.</w:t>
      </w:r>
    </w:p>
    <w:p>
      <w:pPr>
        <w:pStyle w:val="Heading2"/>
        <w:spacing w:after="120" w:before="260"/>
      </w:pPr>
      <w:r>
        <w:rPr>
          <w:rFonts w:ascii="Times New Roman" w:cs="Times New Roman" w:eastAsia="Times New Roman" w:hAnsi="Times New Roman"/>
          <w:b/>
          <w:bCs/>
          <w:sz w:val="24"/>
          <w:szCs w:val="24"/>
        </w:rPr>
        <w:t xml:space="preserve">4.6 Flight Recorders</w:t>
      </w:r>
    </w:p>
    <w:p>
      <w:pPr>
        <w:spacing w:after="200" w:line="336"/>
        <w:ind w:firstLine="360"/>
        <w:jc w:val="both"/>
      </w:pPr>
      <w:r>
        <w:rPr>
          <w:rFonts w:ascii="Times New Roman" w:cs="Times New Roman" w:eastAsia="Times New Roman" w:hAnsi="Times New Roman"/>
          <w:sz w:val="24"/>
          <w:szCs w:val="24"/>
        </w:rPr>
        <w:t xml:space="preserve">Like all modern transport aircraft, VT-ANB carried a Flight Data Recorder (FDR), capturing hundreds of flight and system parameters, and a Cockpit Voice Recorder (CVR), capturing audio from the cockpit including crew conversation and radio transmissions. It is the combined reading of these two recorders that produced the preliminary report's account of the switch movements and the recorded cockpit exchange discussed in Section 6. Because both recorders were recovered relatively intact, investigators have a comparatively rich data set to work with, which is one reason the continued absence of a final, published cause is so notable to outside observers; the delay reflects the depth and international coordination of the analysis rather than a shortage of raw data.</w:t>
      </w:r>
    </w:p>
    <w:p>
      <w:pPr>
        <w:pStyle w:val="Heading1"/>
        <w:spacing w:after="180" w:before="360"/>
      </w:pPr>
      <w:r>
        <w:rPr>
          <w:rFonts w:ascii="Times New Roman" w:cs="Times New Roman" w:eastAsia="Times New Roman" w:hAnsi="Times New Roman"/>
          <w:b/>
          <w:bCs/>
          <w:sz w:val="28"/>
          <w:szCs w:val="28"/>
          <w:u w:val="single"/>
        </w:rPr>
        <w:t xml:space="preserve">5. Airline Internal Safety Architecture: Operations Control, Engineering, and Maintenance</w:t>
      </w:r>
    </w:p>
    <w:p>
      <w:pPr>
        <w:pStyle w:val="Heading2"/>
        <w:spacing w:after="120" w:before="260"/>
      </w:pPr>
      <w:r>
        <w:rPr>
          <w:rFonts w:ascii="Times New Roman" w:cs="Times New Roman" w:eastAsia="Times New Roman" w:hAnsi="Times New Roman"/>
          <w:b/>
          <w:bCs/>
          <w:sz w:val="24"/>
          <w:szCs w:val="24"/>
        </w:rPr>
        <w:t xml:space="preserve">5.1 The Operations Control Centre (OCC)</w:t>
      </w:r>
    </w:p>
    <w:p>
      <w:pPr>
        <w:spacing w:after="200" w:line="336"/>
        <w:ind w:firstLine="360"/>
        <w:jc w:val="both"/>
      </w:pPr>
      <w:r>
        <w:rPr>
          <w:rFonts w:ascii="Times New Roman" w:cs="Times New Roman" w:eastAsia="Times New Roman" w:hAnsi="Times New Roman"/>
          <w:sz w:val="24"/>
          <w:szCs w:val="24"/>
        </w:rPr>
        <w:t xml:space="preserve">Under DGCA requirements, every Indian operator must designate a person responsible for the operational control of each flight, ordinarily working out of a centralised Operations Control Centre, or OCC. It is the OCC that prepares the operational flight plan, confirms fuel and weight calculations, reviews weather and NOTAMs, and, critically for this accident, makes the dispatch decision when an item of equipment is unserviceable and the aircraft's approved Minimum Equipment List permits the flight to proceed regardless. VT-ANB had five open MEL items at the time of dispatch, one of them relating to the nitrogen generation system, and the AAIB's preliminary report does not identify any of these as a contributing factor. That said, the OCC's dispatch reasoning, and specifically why an MEL item touching a system adjacent to engine and fuel management was judged acceptable for that sector, is a legitimate and fairly obvious line of inquiry for a committee investigating an accident that began with a fuel-system anomaly, even if it ultimately turns out to be unconnected. Delegates representing Air India should be ready to explain how OCC dispatch decisions are documented and reviewed, and how that process is overseen by the DGCA.</w:t>
      </w:r>
    </w:p>
    <w:p>
      <w:pPr>
        <w:pStyle w:val="Heading2"/>
        <w:spacing w:after="120" w:before="260"/>
      </w:pPr>
      <w:r>
        <w:rPr>
          <w:rFonts w:ascii="Times New Roman" w:cs="Times New Roman" w:eastAsia="Times New Roman" w:hAnsi="Times New Roman"/>
          <w:b/>
          <w:bCs/>
          <w:sz w:val="24"/>
          <w:szCs w:val="24"/>
        </w:rPr>
        <w:t xml:space="preserve">5.2 Engineering, Continuing Airworthiness, and Maintenance Records</w:t>
      </w:r>
    </w:p>
    <w:p>
      <w:pPr>
        <w:spacing w:after="200" w:line="336"/>
        <w:ind w:firstLine="360"/>
        <w:jc w:val="both"/>
      </w:pPr>
      <w:r>
        <w:rPr>
          <w:rFonts w:ascii="Times New Roman" w:cs="Times New Roman" w:eastAsia="Times New Roman" w:hAnsi="Times New Roman"/>
          <w:sz w:val="24"/>
          <w:szCs w:val="24"/>
        </w:rPr>
        <w:t xml:space="preserve">Separately from OCC, an operator's Engineering department, functioning as a continuing-airworthiness management organisation, is responsible for the aircraft's maintenance programme, for tracking deferred defects raised under the MEL until they are rectified, and for issuing a Certificate of Release to Service after any maintenance action. Any organisation performing maintenance on an Indian-registered aircraft, whether an airline's own in-house engineering function or a contracted maintenance, repair, and overhaul provider, must hold DGCA approval as an approved maintenance organisation and operate under an approved quality system, broadly the same regulatory concept as the Part-145 framework used by EASA and other regulators. As part of this investigation, VT-ANB's full maintenance history is being examined, including any prior work on the fuel control switches, their mechanical guard assemblies, and the engines' electronic control units, to establish whether a latent maintenance-related fault could plausibly explain the switch movement recorded in the preliminary report. DGCA's framework also requires operators to run a maintenance error management process, under which any error made during maintenance is itself investigated and trended, on the same prevention-focused logic as Annex 13 itself.</w:t>
      </w:r>
    </w:p>
    <w:p>
      <w:pPr>
        <w:pStyle w:val="Heading2"/>
        <w:spacing w:after="120" w:before="260"/>
      </w:pPr>
      <w:r>
        <w:rPr>
          <w:rFonts w:ascii="Times New Roman" w:cs="Times New Roman" w:eastAsia="Times New Roman" w:hAnsi="Times New Roman"/>
          <w:b/>
          <w:bCs/>
          <w:sz w:val="24"/>
          <w:szCs w:val="24"/>
        </w:rPr>
        <w:t xml:space="preserve">5.3 Flight Data Monitoring</w:t>
      </w:r>
    </w:p>
    <w:p>
      <w:pPr>
        <w:spacing w:after="200" w:line="336"/>
        <w:ind w:firstLine="360"/>
        <w:jc w:val="both"/>
      </w:pPr>
      <w:r>
        <w:rPr>
          <w:rFonts w:ascii="Times New Roman" w:cs="Times New Roman" w:eastAsia="Times New Roman" w:hAnsi="Times New Roman"/>
          <w:sz w:val="24"/>
          <w:szCs w:val="24"/>
        </w:rPr>
        <w:t xml:space="preserve">Indian operators are also required to run a flight data monitoring, sometimes called flight operations quality assurance, programme, under which routine flight data from across the fleet is downloaded and screened for early warning signs of a developing problem, well before it becomes serious enough to cause an accident. Investigators looking into VT-ANB would ordinarily also pull the aircraft's flight data monitoring history to check whether any prior flight had shown even a minor anomaly in fuel-switch position parameters, engine-control logic activations, or related sensor readings, since a pre-existing pattern, if one existed, would be a significant clue. Delegates researching this area should understand that flight data monitoring programmes are explicitly designed to be non-punitive toward individual crews, for the same reason the investigation itself is: to keep the underlying data flowing honestly.</w:t>
      </w:r>
    </w:p>
    <w:p>
      <w:pPr>
        <w:pStyle w:val="Heading2"/>
        <w:spacing w:after="120" w:before="260"/>
      </w:pPr>
      <w:r>
        <w:rPr>
          <w:rFonts w:ascii="Times New Roman" w:cs="Times New Roman" w:eastAsia="Times New Roman" w:hAnsi="Times New Roman"/>
          <w:b/>
          <w:bCs/>
          <w:sz w:val="24"/>
          <w:szCs w:val="24"/>
        </w:rPr>
        <w:t xml:space="preserve">5.4 Safety Management Systems</w:t>
      </w:r>
    </w:p>
    <w:p>
      <w:pPr>
        <w:spacing w:after="200" w:line="336"/>
        <w:ind w:firstLine="360"/>
        <w:jc w:val="both"/>
      </w:pPr>
      <w:r>
        <w:rPr>
          <w:rFonts w:ascii="Times New Roman" w:cs="Times New Roman" w:eastAsia="Times New Roman" w:hAnsi="Times New Roman"/>
          <w:sz w:val="24"/>
          <w:szCs w:val="24"/>
        </w:rPr>
        <w:t xml:space="preserve">DGCA regulation requires every operator, maintenance organisation, and OCC-equivalent function to run a formal Safety Management System, transposing the high-level safety-management standards set out in ICAO Annex 19, with hazard identification, safety risk assessment, and ongoing performance monitoring as its core components. One useful question for this committee is whether the hazard-identification processes already running inside Air India's own Safety Management System, fed by OCC dispatch data, engineering maintenance trends, and flight data monitoring, had ever previously flagged anything relevant to fuel-switch integrity or engine-control logic on the 787 fleet, and if so, how that information was or was not escalated to the DGCA.</w:t>
      </w:r>
    </w:p>
    <w:p>
      <w:pPr>
        <w:pStyle w:val="Heading1"/>
        <w:spacing w:after="180" w:before="360"/>
      </w:pPr>
      <w:r>
        <w:rPr>
          <w:rFonts w:ascii="Times New Roman" w:cs="Times New Roman" w:eastAsia="Times New Roman" w:hAnsi="Times New Roman"/>
          <w:b/>
          <w:bCs/>
          <w:sz w:val="28"/>
          <w:szCs w:val="28"/>
          <w:u w:val="single"/>
        </w:rPr>
        <w:t xml:space="preserve">6. Sequence of Events</w:t>
      </w:r>
    </w:p>
    <w:p>
      <w:pPr>
        <w:spacing w:after="200" w:line="336"/>
        <w:ind w:firstLine="360"/>
        <w:jc w:val="both"/>
      </w:pPr>
      <w:r>
        <w:rPr>
          <w:rFonts w:ascii="Times New Roman" w:cs="Times New Roman" w:eastAsia="Times New Roman" w:hAnsi="Times New Roman"/>
          <w:sz w:val="24"/>
          <w:szCs w:val="24"/>
        </w:rPr>
        <w:t xml:space="preserve">The sequence below reflects what has been made public through the AAIB's preliminary report of 12 July 2025 and subsequent official statements. It should be treated as the working factual record for this committee, not as a final or complete account, since the AAIB's own final report had not been published as of the preparation of this guide.</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500"/>
        <w:gridCol w:w="6850"/>
      </w:tblGrid>
      <w:tr>
        <w:trPr>
          <w:tblHeader/>
        </w:trPr>
        <w:tc>
          <w:tcPr>
            <w:tcW w:type="dxa" w:w="2500"/>
            <w:shd w:fill="D9D9D9" w:val="clear"/>
            <w:tcMar>
              <w:top w:type="dxa" w:w="90"/>
              <w:left w:type="dxa" w:w="110"/>
              <w:bottom w:type="dxa" w:w="90"/>
              <w:right w:type="dxa" w:w="110"/>
            </w:tcMar>
            <w:vAlign w:val="center"/>
          </w:tcPr>
          <w:p>
            <w:r>
              <w:rPr>
                <w:rFonts w:ascii="Times New Roman" w:cs="Times New Roman" w:eastAsia="Times New Roman" w:hAnsi="Times New Roman"/>
                <w:b/>
                <w:bCs/>
                <w:sz w:val="21"/>
                <w:szCs w:val="21"/>
              </w:rPr>
              <w:t xml:space="preserve">Time (IST)</w:t>
            </w:r>
          </w:p>
        </w:tc>
        <w:tc>
          <w:tcPr>
            <w:tcW w:type="dxa" w:w="6850"/>
            <w:shd w:fill="D9D9D9" w:val="clear"/>
            <w:tcMar>
              <w:top w:type="dxa" w:w="90"/>
              <w:left w:type="dxa" w:w="110"/>
              <w:bottom w:type="dxa" w:w="90"/>
              <w:right w:type="dxa" w:w="110"/>
            </w:tcMar>
            <w:vAlign w:val="center"/>
          </w:tcPr>
          <w:p>
            <w:r>
              <w:rPr>
                <w:rFonts w:ascii="Times New Roman" w:cs="Times New Roman" w:eastAsia="Times New Roman" w:hAnsi="Times New Roman"/>
                <w:b/>
                <w:bCs/>
                <w:sz w:val="21"/>
                <w:szCs w:val="21"/>
              </w:rPr>
              <w:t xml:space="preserve">Event</w:t>
            </w:r>
          </w:p>
        </w:tc>
      </w:tr>
      <w:tr>
        <w:trPr>
          <w:tblHeader w:val="false"/>
        </w:trPr>
        <w:tc>
          <w:tcPr>
            <w:tcW w:type="dxa" w:w="2500"/>
            <w:tcMar>
              <w:top w:type="dxa" w:w="90"/>
              <w:left w:type="dxa" w:w="110"/>
              <w:bottom w:type="dxa" w:w="90"/>
              <w:right w:type="dxa" w:w="110"/>
            </w:tcMar>
            <w:vAlign w:val="center"/>
          </w:tcPr>
          <w:p>
            <w:r>
              <w:rPr>
                <w:rFonts w:ascii="Times New Roman" w:cs="Times New Roman" w:eastAsia="Times New Roman" w:hAnsi="Times New Roman"/>
                <w:b w:val="false"/>
                <w:bCs w:val="false"/>
                <w:sz w:val="21"/>
                <w:szCs w:val="21"/>
              </w:rPr>
              <w:t xml:space="preserve">c. 12:10 – 13:00</w:t>
            </w:r>
          </w:p>
        </w:tc>
        <w:tc>
          <w:tcPr>
            <w:tcW w:type="dxa" w:w="6850"/>
            <w:tcMar>
              <w:top w:type="dxa" w:w="90"/>
              <w:left w:type="dxa" w:w="110"/>
              <w:bottom w:type="dxa" w:w="90"/>
              <w:right w:type="dxa" w:w="110"/>
            </w:tcMar>
            <w:vAlign w:val="center"/>
          </w:tcPr>
          <w:p>
            <w:r>
              <w:rPr>
                <w:rFonts w:ascii="Times New Roman" w:cs="Times New Roman" w:eastAsia="Times New Roman" w:hAnsi="Times New Roman"/>
                <w:b w:val="false"/>
                <w:bCs w:val="false"/>
                <w:sz w:val="21"/>
                <w:szCs w:val="21"/>
              </w:rPr>
              <w:t xml:space="preserve">Flight AI171 undergoes routine pre-flight checks at Ahmedabad. Five Minimum Equipment List (MEL) items are open at dispatch, one relating to the nitrogen generation system; per the preliminary report these were within permitted deferral limits and are not identified as a contributing factor.</w:t>
            </w:r>
          </w:p>
        </w:tc>
      </w:tr>
      <w:tr>
        <w:trPr>
          <w:tblHeader w:val="false"/>
        </w:trPr>
        <w:tc>
          <w:tcPr>
            <w:tcW w:type="dxa" w:w="2500"/>
            <w:tcMar>
              <w:top w:type="dxa" w:w="90"/>
              <w:left w:type="dxa" w:w="110"/>
              <w:bottom w:type="dxa" w:w="90"/>
              <w:right w:type="dxa" w:w="110"/>
            </w:tcMar>
            <w:vAlign w:val="center"/>
          </w:tcPr>
          <w:p>
            <w:r>
              <w:rPr>
                <w:rFonts w:ascii="Times New Roman" w:cs="Times New Roman" w:eastAsia="Times New Roman" w:hAnsi="Times New Roman"/>
                <w:b w:val="false"/>
                <w:bCs w:val="false"/>
                <w:sz w:val="21"/>
                <w:szCs w:val="21"/>
              </w:rPr>
              <w:t xml:space="preserve">13:08:39</w:t>
            </w:r>
          </w:p>
        </w:tc>
        <w:tc>
          <w:tcPr>
            <w:tcW w:type="dxa" w:w="6850"/>
            <w:tcMar>
              <w:top w:type="dxa" w:w="90"/>
              <w:left w:type="dxa" w:w="110"/>
              <w:bottom w:type="dxa" w:w="90"/>
              <w:right w:type="dxa" w:w="110"/>
            </w:tcMar>
            <w:vAlign w:val="center"/>
          </w:tcPr>
          <w:p>
            <w:r>
              <w:rPr>
                <w:rFonts w:ascii="Times New Roman" w:cs="Times New Roman" w:eastAsia="Times New Roman" w:hAnsi="Times New Roman"/>
                <w:b w:val="false"/>
                <w:bCs w:val="false"/>
                <w:sz w:val="21"/>
                <w:szCs w:val="21"/>
              </w:rPr>
              <w:t xml:space="preserve">The aircraft lifts off from Runway 23 of Sardar Vallabhbhai Patel International Airport, Ahmedabad. Recorded takeoff weight (~213,401 kg) and fuel load (~54,200 kg) are within limits; weather is clear.</w:t>
            </w:r>
          </w:p>
        </w:tc>
      </w:tr>
      <w:tr>
        <w:trPr>
          <w:tblHeader w:val="false"/>
        </w:trPr>
        <w:tc>
          <w:tcPr>
            <w:tcW w:type="dxa" w:w="2500"/>
            <w:tcMar>
              <w:top w:type="dxa" w:w="90"/>
              <w:left w:type="dxa" w:w="110"/>
              <w:bottom w:type="dxa" w:w="90"/>
              <w:right w:type="dxa" w:w="110"/>
            </w:tcMar>
            <w:vAlign w:val="center"/>
          </w:tcPr>
          <w:p>
            <w:r>
              <w:rPr>
                <w:rFonts w:ascii="Times New Roman" w:cs="Times New Roman" w:eastAsia="Times New Roman" w:hAnsi="Times New Roman"/>
                <w:b w:val="false"/>
                <w:bCs w:val="false"/>
                <w:sz w:val="21"/>
                <w:szCs w:val="21"/>
              </w:rPr>
              <w:t xml:space="preserve">13:08:42 (approx.)</w:t>
            </w:r>
          </w:p>
        </w:tc>
        <w:tc>
          <w:tcPr>
            <w:tcW w:type="dxa" w:w="6850"/>
            <w:tcMar>
              <w:top w:type="dxa" w:w="90"/>
              <w:left w:type="dxa" w:w="110"/>
              <w:bottom w:type="dxa" w:w="90"/>
              <w:right w:type="dxa" w:w="110"/>
            </w:tcMar>
            <w:vAlign w:val="center"/>
          </w:tcPr>
          <w:p>
            <w:r>
              <w:rPr>
                <w:rFonts w:ascii="Times New Roman" w:cs="Times New Roman" w:eastAsia="Times New Roman" w:hAnsi="Times New Roman"/>
                <w:b w:val="false"/>
                <w:bCs w:val="false"/>
                <w:sz w:val="21"/>
                <w:szCs w:val="21"/>
              </w:rPr>
              <w:t xml:space="preserve">Within a few seconds of liftoff, the engine no. 1 fuel control switch transitions from RUN to CUTOFF.</w:t>
            </w:r>
          </w:p>
        </w:tc>
      </w:tr>
      <w:tr>
        <w:trPr>
          <w:tblHeader w:val="false"/>
        </w:trPr>
        <w:tc>
          <w:tcPr>
            <w:tcW w:type="dxa" w:w="2500"/>
            <w:tcMar>
              <w:top w:type="dxa" w:w="90"/>
              <w:left w:type="dxa" w:w="110"/>
              <w:bottom w:type="dxa" w:w="90"/>
              <w:right w:type="dxa" w:w="110"/>
            </w:tcMar>
            <w:vAlign w:val="center"/>
          </w:tcPr>
          <w:p>
            <w:r>
              <w:rPr>
                <w:rFonts w:ascii="Times New Roman" w:cs="Times New Roman" w:eastAsia="Times New Roman" w:hAnsi="Times New Roman"/>
                <w:b w:val="false"/>
                <w:bCs w:val="false"/>
                <w:sz w:val="21"/>
                <w:szCs w:val="21"/>
              </w:rPr>
              <w:t xml:space="preserve">c. one second later</w:t>
            </w:r>
          </w:p>
        </w:tc>
        <w:tc>
          <w:tcPr>
            <w:tcW w:type="dxa" w:w="6850"/>
            <w:tcMar>
              <w:top w:type="dxa" w:w="90"/>
              <w:left w:type="dxa" w:w="110"/>
              <w:bottom w:type="dxa" w:w="90"/>
              <w:right w:type="dxa" w:w="110"/>
            </w:tcMar>
            <w:vAlign w:val="center"/>
          </w:tcPr>
          <w:p>
            <w:r>
              <w:rPr>
                <w:rFonts w:ascii="Times New Roman" w:cs="Times New Roman" w:eastAsia="Times New Roman" w:hAnsi="Times New Roman"/>
                <w:b w:val="false"/>
                <w:bCs w:val="false"/>
                <w:sz w:val="21"/>
                <w:szCs w:val="21"/>
              </w:rPr>
              <w:t xml:space="preserve">The engine no. 2 fuel control switch also transitions from RUN to CUTOFF. Both engines begin to lose thrust in close succession.</w:t>
            </w:r>
          </w:p>
        </w:tc>
      </w:tr>
      <w:tr>
        <w:trPr>
          <w:tblHeader w:val="false"/>
        </w:trPr>
        <w:tc>
          <w:tcPr>
            <w:tcW w:type="dxa" w:w="2500"/>
            <w:tcMar>
              <w:top w:type="dxa" w:w="90"/>
              <w:left w:type="dxa" w:w="110"/>
              <w:bottom w:type="dxa" w:w="90"/>
              <w:right w:type="dxa" w:w="110"/>
            </w:tcMar>
            <w:vAlign w:val="center"/>
          </w:tcPr>
          <w:p>
            <w:r>
              <w:rPr>
                <w:rFonts w:ascii="Times New Roman" w:cs="Times New Roman" w:eastAsia="Times New Roman" w:hAnsi="Times New Roman"/>
                <w:b w:val="false"/>
                <w:bCs w:val="false"/>
                <w:sz w:val="21"/>
                <w:szCs w:val="21"/>
              </w:rPr>
              <w:t xml:space="preserve">Seconds later</w:t>
            </w:r>
          </w:p>
        </w:tc>
        <w:tc>
          <w:tcPr>
            <w:tcW w:type="dxa" w:w="6850"/>
            <w:tcMar>
              <w:top w:type="dxa" w:w="90"/>
              <w:left w:type="dxa" w:w="110"/>
              <w:bottom w:type="dxa" w:w="90"/>
              <w:right w:type="dxa" w:w="110"/>
            </w:tcMar>
            <w:vAlign w:val="center"/>
          </w:tcPr>
          <w:p>
            <w:r>
              <w:rPr>
                <w:rFonts w:ascii="Times New Roman" w:cs="Times New Roman" w:eastAsia="Times New Roman" w:hAnsi="Times New Roman"/>
                <w:b w:val="false"/>
                <w:bCs w:val="false"/>
                <w:sz w:val="21"/>
                <w:szCs w:val="21"/>
              </w:rPr>
              <w:t xml:space="preserve">The Cockpit Voice Recorder captures one pilot asking the other why he cut off the fuel; the second pilot replies that he did not do so. The Ram Air Turbine deploys, consistent with the loss of both engines' generated power.</w:t>
            </w:r>
          </w:p>
        </w:tc>
      </w:tr>
      <w:tr>
        <w:trPr>
          <w:tblHeader w:val="false"/>
        </w:trPr>
        <w:tc>
          <w:tcPr>
            <w:tcW w:type="dxa" w:w="2500"/>
            <w:tcMar>
              <w:top w:type="dxa" w:w="90"/>
              <w:left w:type="dxa" w:w="110"/>
              <w:bottom w:type="dxa" w:w="90"/>
              <w:right w:type="dxa" w:w="110"/>
            </w:tcMar>
            <w:vAlign w:val="center"/>
          </w:tcPr>
          <w:p>
            <w:r>
              <w:rPr>
                <w:rFonts w:ascii="Times New Roman" w:cs="Times New Roman" w:eastAsia="Times New Roman" w:hAnsi="Times New Roman"/>
                <w:b w:val="false"/>
                <w:bCs w:val="false"/>
                <w:sz w:val="21"/>
                <w:szCs w:val="21"/>
              </w:rPr>
              <w:t xml:space="preserve">Shortly after</w:t>
            </w:r>
          </w:p>
        </w:tc>
        <w:tc>
          <w:tcPr>
            <w:tcW w:type="dxa" w:w="6850"/>
            <w:tcMar>
              <w:top w:type="dxa" w:w="90"/>
              <w:left w:type="dxa" w:w="110"/>
              <w:bottom w:type="dxa" w:w="90"/>
              <w:right w:type="dxa" w:w="110"/>
            </w:tcMar>
            <w:vAlign w:val="center"/>
          </w:tcPr>
          <w:p>
            <w:r>
              <w:rPr>
                <w:rFonts w:ascii="Times New Roman" w:cs="Times New Roman" w:eastAsia="Times New Roman" w:hAnsi="Times New Roman"/>
                <w:b w:val="false"/>
                <w:bCs w:val="false"/>
                <w:sz w:val="21"/>
                <w:szCs w:val="21"/>
              </w:rPr>
              <w:t xml:space="preserve">Both fuel control switches are recorded moving back to RUN. An automatic engine core relight sequence begins on at least one engine, but neither engine relights with sufficient thrust in the time and altitude available.</w:t>
            </w:r>
          </w:p>
        </w:tc>
      </w:tr>
      <w:tr>
        <w:trPr>
          <w:tblHeader w:val="false"/>
        </w:trPr>
        <w:tc>
          <w:tcPr>
            <w:tcW w:type="dxa" w:w="2500"/>
            <w:tcMar>
              <w:top w:type="dxa" w:w="90"/>
              <w:left w:type="dxa" w:w="110"/>
              <w:bottom w:type="dxa" w:w="90"/>
              <w:right w:type="dxa" w:w="110"/>
            </w:tcMar>
            <w:vAlign w:val="center"/>
          </w:tcPr>
          <w:p>
            <w:r>
              <w:rPr>
                <w:rFonts w:ascii="Times New Roman" w:cs="Times New Roman" w:eastAsia="Times New Roman" w:hAnsi="Times New Roman"/>
                <w:b w:val="false"/>
                <w:bCs w:val="false"/>
                <w:sz w:val="21"/>
                <w:szCs w:val="21"/>
              </w:rPr>
              <w:t xml:space="preserve">13:09:05</w:t>
            </w:r>
          </w:p>
        </w:tc>
        <w:tc>
          <w:tcPr>
            <w:tcW w:type="dxa" w:w="6850"/>
            <w:tcMar>
              <w:top w:type="dxa" w:w="90"/>
              <w:left w:type="dxa" w:w="110"/>
              <w:bottom w:type="dxa" w:w="90"/>
              <w:right w:type="dxa" w:w="110"/>
            </w:tcMar>
            <w:vAlign w:val="center"/>
          </w:tcPr>
          <w:p>
            <w:r>
              <w:rPr>
                <w:rFonts w:ascii="Times New Roman" w:cs="Times New Roman" w:eastAsia="Times New Roman" w:hAnsi="Times New Roman"/>
                <w:b w:val="false"/>
                <w:bCs w:val="false"/>
                <w:sz w:val="21"/>
                <w:szCs w:val="21"/>
              </w:rPr>
              <w:t xml:space="preserve">A Mayday call is transmitted to Ahmedabad Air Traffic Control. Controllers query the crew but receive no further response.</w:t>
            </w:r>
          </w:p>
        </w:tc>
      </w:tr>
      <w:tr>
        <w:trPr>
          <w:tblHeader w:val="false"/>
        </w:trPr>
        <w:tc>
          <w:tcPr>
            <w:tcW w:type="dxa" w:w="2500"/>
            <w:tcMar>
              <w:top w:type="dxa" w:w="90"/>
              <w:left w:type="dxa" w:w="110"/>
              <w:bottom w:type="dxa" w:w="90"/>
              <w:right w:type="dxa" w:w="110"/>
            </w:tcMar>
            <w:vAlign w:val="center"/>
          </w:tcPr>
          <w:p>
            <w:r>
              <w:rPr>
                <w:rFonts w:ascii="Times New Roman" w:cs="Times New Roman" w:eastAsia="Times New Roman" w:hAnsi="Times New Roman"/>
                <w:b w:val="false"/>
                <w:bCs w:val="false"/>
                <w:sz w:val="21"/>
                <w:szCs w:val="21"/>
              </w:rPr>
              <w:t xml:space="preserve">c. 13:09:11 (32 sec. after liftoff)</w:t>
            </w:r>
          </w:p>
        </w:tc>
        <w:tc>
          <w:tcPr>
            <w:tcW w:type="dxa" w:w="6850"/>
            <w:tcMar>
              <w:top w:type="dxa" w:w="90"/>
              <w:left w:type="dxa" w:w="110"/>
              <w:bottom w:type="dxa" w:w="90"/>
              <w:right w:type="dxa" w:w="110"/>
            </w:tcMar>
            <w:vAlign w:val="center"/>
          </w:tcPr>
          <w:p>
            <w:r>
              <w:rPr>
                <w:rFonts w:ascii="Times New Roman" w:cs="Times New Roman" w:eastAsia="Times New Roman" w:hAnsi="Times New Roman"/>
                <w:b w:val="false"/>
                <w:bCs w:val="false"/>
                <w:sz w:val="21"/>
                <w:szCs w:val="21"/>
              </w:rPr>
              <w:t xml:space="preserve">The aircraft, unable to sustain altitude, descends into the hostel and dining block of B.J. Medical College and Hospital, roughly 1.5 km beyond the runway threshold, and is destroyed by impact forces and a subsequent fuel-fed fire.</w:t>
            </w:r>
          </w:p>
        </w:tc>
      </w:tr>
    </w:tbl>
    <w:p>
      <w:pPr>
        <w:spacing w:after="260" w:before="60"/>
      </w:pPr>
      <w:r>
        <w:rPr>
          <w:rFonts w:ascii="Times New Roman" w:cs="Times New Roman" w:eastAsia="Times New Roman" w:hAnsi="Times New Roman"/>
          <w:i/>
          <w:iCs/>
          <w:sz w:val="20"/>
          <w:szCs w:val="20"/>
        </w:rPr>
        <w:t xml:space="preserve">Table 1. Reconstructed sequence of events, Air India Flight AI171, 12 June 2025. Times are approximate and drawn from the AAIB preliminary report and subsequent reporting.</w:t>
      </w:r>
    </w:p>
    <w:p>
      <w:pPr>
        <w:pStyle w:val="Heading1"/>
        <w:spacing w:after="180" w:before="360"/>
      </w:pPr>
      <w:r>
        <w:rPr>
          <w:rFonts w:ascii="Times New Roman" w:cs="Times New Roman" w:eastAsia="Times New Roman" w:hAnsi="Times New Roman"/>
          <w:b/>
          <w:bCs/>
          <w:sz w:val="28"/>
          <w:szCs w:val="28"/>
          <w:u w:val="single"/>
        </w:rPr>
        <w:t xml:space="preserve">7. The Preliminary Report and Its Limits</w:t>
      </w:r>
    </w:p>
    <w:p>
      <w:pPr>
        <w:pStyle w:val="Heading2"/>
        <w:spacing w:after="120" w:before="260"/>
      </w:pPr>
      <w:r>
        <w:rPr>
          <w:rFonts w:ascii="Times New Roman" w:cs="Times New Roman" w:eastAsia="Times New Roman" w:hAnsi="Times New Roman"/>
          <w:b/>
          <w:bCs/>
          <w:sz w:val="24"/>
          <w:szCs w:val="24"/>
        </w:rPr>
        <w:t xml:space="preserve">6.1 What the Report States</w:t>
      </w:r>
    </w:p>
    <w:p>
      <w:pPr>
        <w:spacing w:after="200" w:line="336"/>
        <w:ind w:firstLine="360"/>
        <w:jc w:val="both"/>
      </w:pPr>
      <w:r>
        <w:rPr>
          <w:rFonts w:ascii="Times New Roman" w:cs="Times New Roman" w:eastAsia="Times New Roman" w:hAnsi="Times New Roman"/>
          <w:sz w:val="24"/>
          <w:szCs w:val="24"/>
        </w:rPr>
        <w:t xml:space="preserve">The AAIB's preliminary report, released on 12 July 2025, one month after the accident, in keeping with the Annex 13 requirement that a preliminary report be issued within thirty days if the investigation is not already complete, is a relatively short document, around fifteen pages. Its core finding is narrow and specific: both engine fuel control switches moved from RUN to CUTOFF within about a second of one another, shortly after the aircraft became airborne, producing a loss of thrust on both engines almost together. It also records the cockpit exchange in which one pilot asks the other why he cut off the fuel, and the other replies that he did not, and it notes that the switches were later moved back to RUN, with an automatic relight sequence beginning on the engines before the aircraft ran out of altitude and time.</w:t>
      </w:r>
    </w:p>
    <w:p>
      <w:pPr>
        <w:pStyle w:val="Heading2"/>
        <w:spacing w:after="120" w:before="260"/>
      </w:pPr>
      <w:r>
        <w:rPr>
          <w:rFonts w:ascii="Times New Roman" w:cs="Times New Roman" w:eastAsia="Times New Roman" w:hAnsi="Times New Roman"/>
          <w:b/>
          <w:bCs/>
          <w:sz w:val="24"/>
          <w:szCs w:val="24"/>
        </w:rPr>
        <w:t xml:space="preserve">6.2 What the Report Does Not State</w:t>
      </w:r>
    </w:p>
    <w:p>
      <w:pPr>
        <w:spacing w:after="200" w:line="336"/>
        <w:ind w:firstLine="360"/>
        <w:jc w:val="both"/>
      </w:pPr>
      <w:r>
        <w:rPr>
          <w:rFonts w:ascii="Times New Roman" w:cs="Times New Roman" w:eastAsia="Times New Roman" w:hAnsi="Times New Roman"/>
          <w:sz w:val="24"/>
          <w:szCs w:val="24"/>
        </w:rPr>
        <w:t xml:space="preserve">This is the point delegates most need to internalise. The preliminary report does not identify a cause. It does not say whether the switch movement was the result of a deliberate action by either pilot, an inadvertent action, a mechanical fault in the switch or its guard mechanism, or an anomaly in engine or aircraft software logic such as TCMA. It explicitly avoids apportioning blame, consistent with Annex 13's stated purpose. Any claim in this committee that goes beyond this — asserting definitively that a specific pilot caused the crash, or definitively that a software fault caused it — is not something the public record currently supports, and delegates should not present speculation as established fact.</w:t>
      </w:r>
    </w:p>
    <w:p>
      <w:pPr>
        <w:pStyle w:val="Heading2"/>
        <w:spacing w:after="120" w:before="260"/>
      </w:pPr>
      <w:r>
        <w:rPr>
          <w:rFonts w:ascii="Times New Roman" w:cs="Times New Roman" w:eastAsia="Times New Roman" w:hAnsi="Times New Roman"/>
          <w:b/>
          <w:bCs/>
          <w:sz w:val="24"/>
          <w:szCs w:val="24"/>
        </w:rPr>
        <w:t xml:space="preserve">6.3 Public and Institutional Reaction</w:t>
      </w:r>
    </w:p>
    <w:p>
      <w:pPr>
        <w:spacing w:after="200" w:line="336"/>
        <w:ind w:firstLine="360"/>
        <w:jc w:val="both"/>
      </w:pPr>
      <w:r>
        <w:rPr>
          <w:rFonts w:ascii="Times New Roman" w:cs="Times New Roman" w:eastAsia="Times New Roman" w:hAnsi="Times New Roman"/>
          <w:sz w:val="24"/>
          <w:szCs w:val="24"/>
        </w:rPr>
        <w:t xml:space="preserve">Despite the report's own caution, a significant amount of international media coverage in the days after its release framed the recorded cockpit exchange as pointing toward the captain, Captain Sumeet Sabharwal, having deliberately moved the switches. This framing was strongly and publicly disputed by the Federation of Indian Pilots and by Captain Sabharwal's family, who argued that the coverage went well beyond what the report itself supported and called for the investigation to give full weight to possible technical or software explanations. The FIP made a formal submission to the AAIB along those lines. Air India and Boeing have both issued statements expressing support for the ongoing investigation and declined to comment on specific causal questions while it continues. The Government of India, through its Ministry of Civil Aviation, has likewise stated that the investigation is continuing thoroughly and in line with due process, and the AAIB has on more than one occasion publicly asked the media not to draw premature conclusions.</w:t>
      </w:r>
    </w:p>
    <w:p>
      <w:pPr>
        <w:pStyle w:val="Heading1"/>
        <w:spacing w:after="180" w:before="360"/>
      </w:pPr>
      <w:r>
        <w:rPr>
          <w:rFonts w:ascii="Times New Roman" w:cs="Times New Roman" w:eastAsia="Times New Roman" w:hAnsi="Times New Roman"/>
          <w:b/>
          <w:bCs/>
          <w:sz w:val="28"/>
          <w:szCs w:val="28"/>
          <w:u w:val="single"/>
        </w:rPr>
        <w:t xml:space="preserve">8. Current Status of the Investigation</w:t>
      </w:r>
    </w:p>
    <w:p>
      <w:pPr>
        <w:spacing w:after="200" w:line="336"/>
        <w:ind w:firstLine="360"/>
        <w:jc w:val="both"/>
      </w:pPr>
      <w:r>
        <w:rPr>
          <w:rFonts w:ascii="Times New Roman" w:cs="Times New Roman" w:eastAsia="Times New Roman" w:hAnsi="Times New Roman"/>
          <w:sz w:val="24"/>
          <w:szCs w:val="24"/>
        </w:rPr>
        <w:t xml:space="preserve">As of the middle of 2026, well over a year after the accident, the AAIB's final report has still not been published. In a statement marking the first anniversary of the crash, the AAIB said it had made significant progress and was continuing to analyse evidence gathered across the preceding year, including aircraft systems data, flight recorder information, engine components, maintenance records, and operational information, while declining to give a firm publication date at that time. Subsequently, in submissions to the Supreme Court of India, the AAIB indicated that it expected its investigative work to conclude within a matter of weeks and that a final report was anticipated around October 2026. The Bureau has attributed the length of the process to the scale and complexity of the evidence involved and to the international review and consultation steps required under Annex 13, given the accredited participation of the United States as State of Design and State of Manufacture. Delegates should treat this timeline as indicative rather than fixed, and should check for any more recent public statement closer to the conference date, since a final report released between now and committee sessions would materially change the evidentiary basis on which this committee is operating.</w:t>
      </w:r>
    </w:p>
    <w:p>
      <w:pPr>
        <w:pStyle w:val="Heading1"/>
        <w:spacing w:after="180" w:before="360"/>
      </w:pPr>
      <w:r>
        <w:rPr>
          <w:rFonts w:ascii="Times New Roman" w:cs="Times New Roman" w:eastAsia="Times New Roman" w:hAnsi="Times New Roman"/>
          <w:b/>
          <w:bCs/>
          <w:sz w:val="28"/>
          <w:szCs w:val="28"/>
          <w:u w:val="single"/>
        </w:rPr>
        <w:t xml:space="preserve">9. AAIB Reports and Submissions Timeline</w:t>
      </w:r>
    </w:p>
    <w:p>
      <w:pPr>
        <w:spacing w:after="200" w:line="336"/>
        <w:ind w:firstLine="360"/>
        <w:jc w:val="both"/>
      </w:pPr>
      <w:r>
        <w:rPr>
          <w:rFonts w:ascii="Times New Roman" w:cs="Times New Roman" w:eastAsia="Times New Roman" w:hAnsi="Times New Roman"/>
          <w:sz w:val="24"/>
          <w:szCs w:val="24"/>
        </w:rPr>
        <w:t xml:space="preserve">Beyond the preliminary report itself, the AAIB has issued a small number of further public reports and formal court submissions as the investigation has continued through 2025 and 2026. Delegates should be familiar with each of these, since together they are the only public record of how the investigation has actually progressed, and each has attracted its own share of public and institutional reaction.</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1750"/>
        <w:gridCol w:w="2600"/>
        <w:gridCol w:w="5000"/>
      </w:tblGrid>
      <w:tr>
        <w:trPr>
          <w:tblHeader/>
        </w:trPr>
        <w:tc>
          <w:tcPr>
            <w:tcW w:type="dxa" w:w="1750"/>
            <w:shd w:fill="D9D9D9" w:val="clear"/>
            <w:tcMar>
              <w:top w:type="dxa" w:w="90"/>
              <w:left w:type="dxa" w:w="110"/>
              <w:bottom w:type="dxa" w:w="90"/>
              <w:right w:type="dxa" w:w="110"/>
            </w:tcMar>
            <w:vAlign w:val="center"/>
          </w:tcPr>
          <w:p>
            <w:r>
              <w:rPr>
                <w:rFonts w:ascii="Times New Roman" w:cs="Times New Roman" w:eastAsia="Times New Roman" w:hAnsi="Times New Roman"/>
                <w:b/>
                <w:bCs/>
                <w:sz w:val="21"/>
                <w:szCs w:val="21"/>
              </w:rPr>
              <w:t xml:space="preserve">Date</w:t>
            </w:r>
          </w:p>
        </w:tc>
        <w:tc>
          <w:tcPr>
            <w:tcW w:type="dxa" w:w="2600"/>
            <w:shd w:fill="D9D9D9" w:val="clear"/>
            <w:tcMar>
              <w:top w:type="dxa" w:w="90"/>
              <w:left w:type="dxa" w:w="110"/>
              <w:bottom w:type="dxa" w:w="90"/>
              <w:right w:type="dxa" w:w="110"/>
            </w:tcMar>
            <w:vAlign w:val="center"/>
          </w:tcPr>
          <w:p>
            <w:r>
              <w:rPr>
                <w:rFonts w:ascii="Times New Roman" w:cs="Times New Roman" w:eastAsia="Times New Roman" w:hAnsi="Times New Roman"/>
                <w:b/>
                <w:bCs/>
                <w:sz w:val="21"/>
                <w:szCs w:val="21"/>
              </w:rPr>
              <w:t xml:space="preserve">Report / Submission</w:t>
            </w:r>
          </w:p>
        </w:tc>
        <w:tc>
          <w:tcPr>
            <w:tcW w:type="dxa" w:w="5000"/>
            <w:shd w:fill="D9D9D9" w:val="clear"/>
            <w:tcMar>
              <w:top w:type="dxa" w:w="90"/>
              <w:left w:type="dxa" w:w="110"/>
              <w:bottom w:type="dxa" w:w="90"/>
              <w:right w:type="dxa" w:w="110"/>
            </w:tcMar>
            <w:vAlign w:val="center"/>
          </w:tcPr>
          <w:p>
            <w:r>
              <w:rPr>
                <w:rFonts w:ascii="Times New Roman" w:cs="Times New Roman" w:eastAsia="Times New Roman" w:hAnsi="Times New Roman"/>
                <w:b/>
                <w:bCs/>
                <w:sz w:val="21"/>
                <w:szCs w:val="21"/>
              </w:rPr>
              <w:t xml:space="preserve">Summary</w:t>
            </w:r>
          </w:p>
        </w:tc>
      </w:tr>
      <w:tr>
        <w:trPr>
          <w:tblHeader w:val="false"/>
        </w:trPr>
        <w:tc>
          <w:tcPr>
            <w:tcW w:type="dxa" w:w="1750"/>
            <w:tcMar>
              <w:top w:type="dxa" w:w="90"/>
              <w:left w:type="dxa" w:w="110"/>
              <w:bottom w:type="dxa" w:w="90"/>
              <w:right w:type="dxa" w:w="110"/>
            </w:tcMar>
            <w:vAlign w:val="center"/>
          </w:tcPr>
          <w:p>
            <w:r>
              <w:rPr>
                <w:rFonts w:ascii="Times New Roman" w:cs="Times New Roman" w:eastAsia="Times New Roman" w:hAnsi="Times New Roman"/>
                <w:b w:val="false"/>
                <w:bCs w:val="false"/>
                <w:sz w:val="21"/>
                <w:szCs w:val="21"/>
              </w:rPr>
              <w:t xml:space="preserve">12 July 2025</w:t>
            </w:r>
          </w:p>
        </w:tc>
        <w:tc>
          <w:tcPr>
            <w:tcW w:type="dxa" w:w="2600"/>
            <w:tcMar>
              <w:top w:type="dxa" w:w="90"/>
              <w:left w:type="dxa" w:w="110"/>
              <w:bottom w:type="dxa" w:w="90"/>
              <w:right w:type="dxa" w:w="110"/>
            </w:tcMar>
            <w:vAlign w:val="center"/>
          </w:tcPr>
          <w:p>
            <w:r>
              <w:rPr>
                <w:rFonts w:ascii="Times New Roman" w:cs="Times New Roman" w:eastAsia="Times New Roman" w:hAnsi="Times New Roman"/>
                <w:b w:val="false"/>
                <w:bCs w:val="false"/>
                <w:sz w:val="21"/>
                <w:szCs w:val="21"/>
              </w:rPr>
              <w:t xml:space="preserve">Preliminary Report</w:t>
            </w:r>
          </w:p>
        </w:tc>
        <w:tc>
          <w:tcPr>
            <w:tcW w:type="dxa" w:w="5000"/>
            <w:tcMar>
              <w:top w:type="dxa" w:w="90"/>
              <w:left w:type="dxa" w:w="110"/>
              <w:bottom w:type="dxa" w:w="90"/>
              <w:right w:type="dxa" w:w="110"/>
            </w:tcMar>
            <w:vAlign w:val="center"/>
          </w:tcPr>
          <w:p>
            <w:r>
              <w:rPr>
                <w:rFonts w:ascii="Times New Roman" w:cs="Times New Roman" w:eastAsia="Times New Roman" w:hAnsi="Times New Roman"/>
                <w:b w:val="false"/>
                <w:bCs w:val="false"/>
                <w:sz w:val="21"/>
                <w:szCs w:val="21"/>
              </w:rPr>
              <w:t xml:space="preserve">Published one month after the accident, in line with the Annex 13 requirement for a preliminary report where the investigation is not yet complete. This was the first official document to confirm that the fuel control switches for both engines had transitioned to the CUTOFF position within about a second of each other shortly after liftoff. It drew no conclusions on cause and apportioned no blame, as discussed in Section 7.</w:t>
            </w:r>
          </w:p>
        </w:tc>
      </w:tr>
      <w:tr>
        <w:trPr>
          <w:tblHeader w:val="false"/>
        </w:trPr>
        <w:tc>
          <w:tcPr>
            <w:tcW w:type="dxa" w:w="1750"/>
            <w:tcMar>
              <w:top w:type="dxa" w:w="90"/>
              <w:left w:type="dxa" w:w="110"/>
              <w:bottom w:type="dxa" w:w="90"/>
              <w:right w:type="dxa" w:w="110"/>
            </w:tcMar>
            <w:vAlign w:val="center"/>
          </w:tcPr>
          <w:p>
            <w:r>
              <w:rPr>
                <w:rFonts w:ascii="Times New Roman" w:cs="Times New Roman" w:eastAsia="Times New Roman" w:hAnsi="Times New Roman"/>
                <w:b w:val="false"/>
                <w:bCs w:val="false"/>
                <w:sz w:val="21"/>
                <w:szCs w:val="21"/>
              </w:rPr>
              <w:t xml:space="preserve">12 June 2026</w:t>
            </w:r>
          </w:p>
        </w:tc>
        <w:tc>
          <w:tcPr>
            <w:tcW w:type="dxa" w:w="2600"/>
            <w:tcMar>
              <w:top w:type="dxa" w:w="90"/>
              <w:left w:type="dxa" w:w="110"/>
              <w:bottom w:type="dxa" w:w="90"/>
              <w:right w:type="dxa" w:w="110"/>
            </w:tcMar>
            <w:vAlign w:val="center"/>
          </w:tcPr>
          <w:p>
            <w:r>
              <w:rPr>
                <w:rFonts w:ascii="Times New Roman" w:cs="Times New Roman" w:eastAsia="Times New Roman" w:hAnsi="Times New Roman"/>
                <w:b w:val="false"/>
                <w:bCs w:val="false"/>
                <w:sz w:val="21"/>
                <w:szCs w:val="21"/>
              </w:rPr>
              <w:t xml:space="preserve">One-Year Interim Statement</w:t>
            </w:r>
          </w:p>
        </w:tc>
        <w:tc>
          <w:tcPr>
            <w:tcW w:type="dxa" w:w="5000"/>
            <w:tcMar>
              <w:top w:type="dxa" w:w="90"/>
              <w:left w:type="dxa" w:w="110"/>
              <w:bottom w:type="dxa" w:w="90"/>
              <w:right w:type="dxa" w:w="110"/>
            </w:tcMar>
            <w:vAlign w:val="center"/>
          </w:tcPr>
          <w:p>
            <w:r>
              <w:rPr>
                <w:rFonts w:ascii="Times New Roman" w:cs="Times New Roman" w:eastAsia="Times New Roman" w:hAnsi="Times New Roman"/>
                <w:b w:val="false"/>
                <w:bCs w:val="false"/>
                <w:sz w:val="21"/>
                <w:szCs w:val="21"/>
              </w:rPr>
              <w:t xml:space="preserve">Released on the exact first anniversary of the crash, this statement functioned as a periodic status update of the kind expected under international investigative practice for a case still open at its anniversary. It confirmed that evidence collection, technical examination, and forensic analysis were continuing across aircraft systems data, flight recorder information, engine components, and maintenance and operational records, without at that point committing to a firm publication date.</w:t>
            </w:r>
          </w:p>
        </w:tc>
      </w:tr>
      <w:tr>
        <w:trPr>
          <w:tblHeader w:val="false"/>
        </w:trPr>
        <w:tc>
          <w:tcPr>
            <w:tcW w:type="dxa" w:w="1750"/>
            <w:tcMar>
              <w:top w:type="dxa" w:w="90"/>
              <w:left w:type="dxa" w:w="110"/>
              <w:bottom w:type="dxa" w:w="90"/>
              <w:right w:type="dxa" w:w="110"/>
            </w:tcMar>
            <w:vAlign w:val="center"/>
          </w:tcPr>
          <w:p>
            <w:r>
              <w:rPr>
                <w:rFonts w:ascii="Times New Roman" w:cs="Times New Roman" w:eastAsia="Times New Roman" w:hAnsi="Times New Roman"/>
                <w:b w:val="false"/>
                <w:bCs w:val="false"/>
                <w:sz w:val="21"/>
                <w:szCs w:val="21"/>
              </w:rPr>
              <w:t xml:space="preserve">Mid-to-late July 2026</w:t>
            </w:r>
          </w:p>
        </w:tc>
        <w:tc>
          <w:tcPr>
            <w:tcW w:type="dxa" w:w="2600"/>
            <w:tcMar>
              <w:top w:type="dxa" w:w="90"/>
              <w:left w:type="dxa" w:w="110"/>
              <w:bottom w:type="dxa" w:w="90"/>
              <w:right w:type="dxa" w:w="110"/>
            </w:tcMar>
            <w:vAlign w:val="center"/>
          </w:tcPr>
          <w:p>
            <w:r>
              <w:rPr>
                <w:rFonts w:ascii="Times New Roman" w:cs="Times New Roman" w:eastAsia="Times New Roman" w:hAnsi="Times New Roman"/>
                <w:b w:val="false"/>
                <w:bCs w:val="false"/>
                <w:sz w:val="21"/>
                <w:szCs w:val="21"/>
              </w:rPr>
              <w:t xml:space="preserve">Affidavit and Progress Update to the Supreme Court of India</w:t>
            </w:r>
          </w:p>
        </w:tc>
        <w:tc>
          <w:tcPr>
            <w:tcW w:type="dxa" w:w="5000"/>
            <w:tcMar>
              <w:top w:type="dxa" w:w="90"/>
              <w:left w:type="dxa" w:w="110"/>
              <w:bottom w:type="dxa" w:w="90"/>
              <w:right w:type="dxa" w:w="110"/>
            </w:tcMar>
            <w:vAlign w:val="center"/>
          </w:tcPr>
          <w:p>
            <w:r>
              <w:rPr>
                <w:rFonts w:ascii="Times New Roman" w:cs="Times New Roman" w:eastAsia="Times New Roman" w:hAnsi="Times New Roman"/>
                <w:b w:val="false"/>
                <w:bCs w:val="false"/>
                <w:sz w:val="21"/>
                <w:szCs w:val="21"/>
              </w:rPr>
              <w:t xml:space="preserve">Filed in response to petitions before the Supreme Court seeking an independent or court-monitored inquiry into the crash, this submission disclosed that 49 of the 66 procedural steps prescribed for investigating a serious aircraft accident had been completed, and that the investigation's core fact-finding activities, including evidence collection, technical assessment, and forensic examination, were expected to conclude within roughly six weeks, placing a draft final report around October 2026. The Bureau also reiterated that cockpit voice recordings and airborne image recordings cannot lawfully be made public, and that the identities of individuals involved cannot be disclosed in the eventual final report, citing the statutory confidentiality provisions that govern its investigations. Having heard this update, the Supreme Court opted to await the AAIB's own timeline rather than order a parallel or court-monitored investigation.</w:t>
            </w:r>
          </w:p>
        </w:tc>
      </w:tr>
    </w:tbl>
    <w:p>
      <w:pPr>
        <w:spacing w:after="260" w:before="60"/>
      </w:pPr>
      <w:r>
        <w:rPr>
          <w:rFonts w:ascii="Times New Roman" w:cs="Times New Roman" w:eastAsia="Times New Roman" w:hAnsi="Times New Roman"/>
          <w:i/>
          <w:iCs/>
          <w:sz w:val="20"/>
          <w:szCs w:val="20"/>
        </w:rPr>
        <w:t xml:space="preserve">Table 3. Public reports and formal submissions issued by the AAIB on the AI171 investigation, July 2025 to July 2026.</w:t>
      </w:r>
    </w:p>
    <w:p>
      <w:pPr>
        <w:spacing w:after="200" w:line="336"/>
        <w:ind w:firstLine="360"/>
        <w:jc w:val="both"/>
      </w:pPr>
      <w:r>
        <w:rPr>
          <w:rFonts w:ascii="Times New Roman" w:cs="Times New Roman" w:eastAsia="Times New Roman" w:hAnsi="Times New Roman"/>
          <w:sz w:val="24"/>
          <w:szCs w:val="24"/>
        </w:rPr>
        <w:t xml:space="preserve">Delegates should note that none of these three documents is the final report, and that even the anticipated October 2026 draft will not automatically become public in full; consistent with Annex 13 and India's domestic rules, a draft final report is ordinarily circulated first to accredited participating States for comment before any public release. Delegates should check for any further AAIB statement or court filing issued between the preparation of this guide and the conference itself, since this is an area of the agenda that is genuinely still moving.</w:t>
      </w:r>
    </w:p>
    <w:p>
      <w:pPr>
        <w:pStyle w:val="Heading1"/>
        <w:spacing w:after="180" w:before="360"/>
      </w:pPr>
      <w:r>
        <w:rPr>
          <w:rFonts w:ascii="Times New Roman" w:cs="Times New Roman" w:eastAsia="Times New Roman" w:hAnsi="Times New Roman"/>
          <w:b/>
          <w:bCs/>
          <w:sz w:val="28"/>
          <w:szCs w:val="28"/>
          <w:u w:val="single"/>
        </w:rPr>
        <w:t xml:space="preserve">10. Key Stakeholders in This Simulation</w:t>
      </w:r>
    </w:p>
    <w:p>
      <w:pPr>
        <w:spacing w:after="200" w:line="336"/>
        <w:ind w:firstLine="360"/>
        <w:jc w:val="both"/>
      </w:pPr>
      <w:r>
        <w:rPr>
          <w:rFonts w:ascii="Times New Roman" w:cs="Times New Roman" w:eastAsia="Times New Roman" w:hAnsi="Times New Roman"/>
          <w:sz w:val="24"/>
          <w:szCs w:val="24"/>
        </w:rPr>
        <w:t xml:space="preserve">The following delegations will be represented in committee. Each holds a distinct, and in some cases formally recognised, role or interest in an investigation conducted under the Annex 13 framework.</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3100"/>
        <w:gridCol w:w="6250"/>
      </w:tblGrid>
      <w:tr>
        <w:trPr>
          <w:tblHeader/>
        </w:trPr>
        <w:tc>
          <w:tcPr>
            <w:tcW w:type="dxa" w:w="3100"/>
            <w:shd w:fill="D9D9D9" w:val="clear"/>
            <w:tcMar>
              <w:top w:type="dxa" w:w="90"/>
              <w:left w:type="dxa" w:w="110"/>
              <w:bottom w:type="dxa" w:w="90"/>
              <w:right w:type="dxa" w:w="110"/>
            </w:tcMar>
            <w:vAlign w:val="center"/>
          </w:tcPr>
          <w:p>
            <w:r>
              <w:rPr>
                <w:rFonts w:ascii="Times New Roman" w:cs="Times New Roman" w:eastAsia="Times New Roman" w:hAnsi="Times New Roman"/>
                <w:b/>
                <w:bCs/>
                <w:sz w:val="21"/>
                <w:szCs w:val="21"/>
              </w:rPr>
              <w:t xml:space="preserve">Delegation</w:t>
            </w:r>
          </w:p>
        </w:tc>
        <w:tc>
          <w:tcPr>
            <w:tcW w:type="dxa" w:w="6250"/>
            <w:shd w:fill="D9D9D9" w:val="clear"/>
            <w:tcMar>
              <w:top w:type="dxa" w:w="90"/>
              <w:left w:type="dxa" w:w="110"/>
              <w:bottom w:type="dxa" w:w="90"/>
              <w:right w:type="dxa" w:w="110"/>
            </w:tcMar>
            <w:vAlign w:val="center"/>
          </w:tcPr>
          <w:p>
            <w:r>
              <w:rPr>
                <w:rFonts w:ascii="Times New Roman" w:cs="Times New Roman" w:eastAsia="Times New Roman" w:hAnsi="Times New Roman"/>
                <w:b/>
                <w:bCs/>
                <w:sz w:val="21"/>
                <w:szCs w:val="21"/>
              </w:rPr>
              <w:t xml:space="preserve">Interest and standing</w:t>
            </w:r>
          </w:p>
        </w:tc>
      </w:tr>
      <w:tr>
        <w:trPr>
          <w:tblHeader w:val="false"/>
        </w:trPr>
        <w:tc>
          <w:tcPr>
            <w:tcW w:type="dxa" w:w="3100"/>
            <w:tcMar>
              <w:top w:type="dxa" w:w="90"/>
              <w:left w:type="dxa" w:w="110"/>
              <w:bottom w:type="dxa" w:w="90"/>
              <w:right w:type="dxa" w:w="110"/>
            </w:tcMar>
            <w:vAlign w:val="center"/>
          </w:tcPr>
          <w:p>
            <w:r>
              <w:rPr>
                <w:rFonts w:ascii="Times New Roman" w:cs="Times New Roman" w:eastAsia="Times New Roman" w:hAnsi="Times New Roman"/>
                <w:b w:val="false"/>
                <w:bCs w:val="false"/>
                <w:sz w:val="21"/>
                <w:szCs w:val="21"/>
              </w:rPr>
              <w:t xml:space="preserve">Aircraft Accident Investigation Bureau (AAIB), India</w:t>
            </w:r>
          </w:p>
        </w:tc>
        <w:tc>
          <w:tcPr>
            <w:tcW w:type="dxa" w:w="6250"/>
            <w:tcMar>
              <w:top w:type="dxa" w:w="90"/>
              <w:left w:type="dxa" w:w="110"/>
              <w:bottom w:type="dxa" w:w="90"/>
              <w:right w:type="dxa" w:w="110"/>
            </w:tcMar>
            <w:vAlign w:val="center"/>
          </w:tcPr>
          <w:p>
            <w:r>
              <w:rPr>
                <w:rFonts w:ascii="Times New Roman" w:cs="Times New Roman" w:eastAsia="Times New Roman" w:hAnsi="Times New Roman"/>
                <w:b w:val="false"/>
                <w:bCs w:val="false"/>
                <w:sz w:val="21"/>
                <w:szCs w:val="21"/>
              </w:rPr>
              <w:t xml:space="preserve">Statutory lead investigator; chairs the fact-finding process, controls custody of the flight recorders and wreckage, and will ultimately publish the final report and safety recommendations.</w:t>
            </w:r>
          </w:p>
        </w:tc>
      </w:tr>
      <w:tr>
        <w:trPr>
          <w:tblHeader w:val="false"/>
        </w:trPr>
        <w:tc>
          <w:tcPr>
            <w:tcW w:type="dxa" w:w="3100"/>
            <w:tcMar>
              <w:top w:type="dxa" w:w="90"/>
              <w:left w:type="dxa" w:w="110"/>
              <w:bottom w:type="dxa" w:w="90"/>
              <w:right w:type="dxa" w:w="110"/>
            </w:tcMar>
            <w:vAlign w:val="center"/>
          </w:tcPr>
          <w:p>
            <w:r>
              <w:rPr>
                <w:rFonts w:ascii="Times New Roman" w:cs="Times New Roman" w:eastAsia="Times New Roman" w:hAnsi="Times New Roman"/>
                <w:b w:val="false"/>
                <w:bCs w:val="false"/>
                <w:sz w:val="21"/>
                <w:szCs w:val="21"/>
              </w:rPr>
              <w:t xml:space="preserve">Directorate General of Civil Aviation (DGCA), India</w:t>
            </w:r>
          </w:p>
        </w:tc>
        <w:tc>
          <w:tcPr>
            <w:tcW w:type="dxa" w:w="6250"/>
            <w:tcMar>
              <w:top w:type="dxa" w:w="90"/>
              <w:left w:type="dxa" w:w="110"/>
              <w:bottom w:type="dxa" w:w="90"/>
              <w:right w:type="dxa" w:w="110"/>
            </w:tcMar>
            <w:vAlign w:val="center"/>
          </w:tcPr>
          <w:p>
            <w:r>
              <w:rPr>
                <w:rFonts w:ascii="Times New Roman" w:cs="Times New Roman" w:eastAsia="Times New Roman" w:hAnsi="Times New Roman"/>
                <w:b w:val="false"/>
                <w:bCs w:val="false"/>
                <w:sz w:val="21"/>
                <w:szCs w:val="21"/>
              </w:rPr>
              <w:t xml:space="preserve">Domestic safety regulator; issues airworthiness directives and oversight of Indian operators; institutionally distinct from the AAIB to prevent the regulator from investigating its own oversight record.</w:t>
            </w:r>
          </w:p>
        </w:tc>
      </w:tr>
      <w:tr>
        <w:trPr>
          <w:tblHeader w:val="false"/>
        </w:trPr>
        <w:tc>
          <w:tcPr>
            <w:tcW w:type="dxa" w:w="3100"/>
            <w:tcMar>
              <w:top w:type="dxa" w:w="90"/>
              <w:left w:type="dxa" w:w="110"/>
              <w:bottom w:type="dxa" w:w="90"/>
              <w:right w:type="dxa" w:w="110"/>
            </w:tcMar>
            <w:vAlign w:val="center"/>
          </w:tcPr>
          <w:p>
            <w:r>
              <w:rPr>
                <w:rFonts w:ascii="Times New Roman" w:cs="Times New Roman" w:eastAsia="Times New Roman" w:hAnsi="Times New Roman"/>
                <w:b w:val="false"/>
                <w:bCs w:val="false"/>
                <w:sz w:val="21"/>
                <w:szCs w:val="21"/>
              </w:rPr>
              <w:t xml:space="preserve">Ministry of Civil Aviation, Government of India</w:t>
            </w:r>
          </w:p>
        </w:tc>
        <w:tc>
          <w:tcPr>
            <w:tcW w:type="dxa" w:w="6250"/>
            <w:tcMar>
              <w:top w:type="dxa" w:w="90"/>
              <w:left w:type="dxa" w:w="110"/>
              <w:bottom w:type="dxa" w:w="90"/>
              <w:right w:type="dxa" w:w="110"/>
            </w:tcMar>
            <w:vAlign w:val="center"/>
          </w:tcPr>
          <w:p>
            <w:r>
              <w:rPr>
                <w:rFonts w:ascii="Times New Roman" w:cs="Times New Roman" w:eastAsia="Times New Roman" w:hAnsi="Times New Roman"/>
                <w:b w:val="false"/>
                <w:bCs w:val="false"/>
                <w:sz w:val="21"/>
                <w:szCs w:val="21"/>
              </w:rPr>
              <w:t xml:space="preserve">Political and administrative oversight of the investigation's conduct, including the timeline scrutinised by the Supreme Court of India.</w:t>
            </w:r>
          </w:p>
        </w:tc>
      </w:tr>
      <w:tr>
        <w:trPr>
          <w:tblHeader w:val="false"/>
        </w:trPr>
        <w:tc>
          <w:tcPr>
            <w:tcW w:type="dxa" w:w="3100"/>
            <w:tcMar>
              <w:top w:type="dxa" w:w="90"/>
              <w:left w:type="dxa" w:w="110"/>
              <w:bottom w:type="dxa" w:w="90"/>
              <w:right w:type="dxa" w:w="110"/>
            </w:tcMar>
            <w:vAlign w:val="center"/>
          </w:tcPr>
          <w:p>
            <w:r>
              <w:rPr>
                <w:rFonts w:ascii="Times New Roman" w:cs="Times New Roman" w:eastAsia="Times New Roman" w:hAnsi="Times New Roman"/>
                <w:b w:val="false"/>
                <w:bCs w:val="false"/>
                <w:sz w:val="21"/>
                <w:szCs w:val="21"/>
              </w:rPr>
              <w:t xml:space="preserve">Air India (Tata Group)</w:t>
            </w:r>
          </w:p>
        </w:tc>
        <w:tc>
          <w:tcPr>
            <w:tcW w:type="dxa" w:w="6250"/>
            <w:tcMar>
              <w:top w:type="dxa" w:w="90"/>
              <w:left w:type="dxa" w:w="110"/>
              <w:bottom w:type="dxa" w:w="90"/>
              <w:right w:type="dxa" w:w="110"/>
            </w:tcMar>
            <w:vAlign w:val="center"/>
          </w:tcPr>
          <w:p>
            <w:r>
              <w:rPr>
                <w:rFonts w:ascii="Times New Roman" w:cs="Times New Roman" w:eastAsia="Times New Roman" w:hAnsi="Times New Roman"/>
                <w:b w:val="false"/>
                <w:bCs w:val="false"/>
                <w:sz w:val="21"/>
                <w:szCs w:val="21"/>
              </w:rPr>
              <w:t xml:space="preserve">Operator of the accident aircraft; holds maintenance records, training and rostering data for the flight crew, and manages the airline's relationship with victims' families.</w:t>
            </w:r>
          </w:p>
        </w:tc>
      </w:tr>
      <w:tr>
        <w:trPr>
          <w:tblHeader w:val="false"/>
        </w:trPr>
        <w:tc>
          <w:tcPr>
            <w:tcW w:type="dxa" w:w="3100"/>
            <w:tcMar>
              <w:top w:type="dxa" w:w="90"/>
              <w:left w:type="dxa" w:w="110"/>
              <w:bottom w:type="dxa" w:w="90"/>
              <w:right w:type="dxa" w:w="110"/>
            </w:tcMar>
            <w:vAlign w:val="center"/>
          </w:tcPr>
          <w:p>
            <w:r>
              <w:rPr>
                <w:rFonts w:ascii="Times New Roman" w:cs="Times New Roman" w:eastAsia="Times New Roman" w:hAnsi="Times New Roman"/>
                <w:b w:val="false"/>
                <w:bCs w:val="false"/>
                <w:sz w:val="21"/>
                <w:szCs w:val="21"/>
              </w:rPr>
              <w:t xml:space="preserve">The Boeing Company</w:t>
            </w:r>
          </w:p>
        </w:tc>
        <w:tc>
          <w:tcPr>
            <w:tcW w:type="dxa" w:w="6250"/>
            <w:tcMar>
              <w:top w:type="dxa" w:w="90"/>
              <w:left w:type="dxa" w:w="110"/>
              <w:bottom w:type="dxa" w:w="90"/>
              <w:right w:type="dxa" w:w="110"/>
            </w:tcMar>
            <w:vAlign w:val="center"/>
          </w:tcPr>
          <w:p>
            <w:r>
              <w:rPr>
                <w:rFonts w:ascii="Times New Roman" w:cs="Times New Roman" w:eastAsia="Times New Roman" w:hAnsi="Times New Roman"/>
                <w:b w:val="false"/>
                <w:bCs w:val="false"/>
                <w:sz w:val="21"/>
                <w:szCs w:val="21"/>
              </w:rPr>
              <w:t xml:space="preserve">Type-certificate holder and airframe manufacturer; accredited representative as State of Design/Manufacture under Annex 13; controls detailed systems documentation for the 787 programme.</w:t>
            </w:r>
          </w:p>
        </w:tc>
      </w:tr>
      <w:tr>
        <w:trPr>
          <w:tblHeader w:val="false"/>
        </w:trPr>
        <w:tc>
          <w:tcPr>
            <w:tcW w:type="dxa" w:w="3100"/>
            <w:tcMar>
              <w:top w:type="dxa" w:w="90"/>
              <w:left w:type="dxa" w:w="110"/>
              <w:bottom w:type="dxa" w:w="90"/>
              <w:right w:type="dxa" w:w="110"/>
            </w:tcMar>
            <w:vAlign w:val="center"/>
          </w:tcPr>
          <w:p>
            <w:r>
              <w:rPr>
                <w:rFonts w:ascii="Times New Roman" w:cs="Times New Roman" w:eastAsia="Times New Roman" w:hAnsi="Times New Roman"/>
                <w:b w:val="false"/>
                <w:bCs w:val="false"/>
                <w:sz w:val="21"/>
                <w:szCs w:val="21"/>
              </w:rPr>
              <w:t xml:space="preserve">GE Aerospace</w:t>
            </w:r>
          </w:p>
        </w:tc>
        <w:tc>
          <w:tcPr>
            <w:tcW w:type="dxa" w:w="6250"/>
            <w:tcMar>
              <w:top w:type="dxa" w:w="90"/>
              <w:left w:type="dxa" w:w="110"/>
              <w:bottom w:type="dxa" w:w="90"/>
              <w:right w:type="dxa" w:w="110"/>
            </w:tcMar>
            <w:vAlign w:val="center"/>
          </w:tcPr>
          <w:p>
            <w:r>
              <w:rPr>
                <w:rFonts w:ascii="Times New Roman" w:cs="Times New Roman" w:eastAsia="Times New Roman" w:hAnsi="Times New Roman"/>
                <w:b w:val="false"/>
                <w:bCs w:val="false"/>
                <w:sz w:val="21"/>
                <w:szCs w:val="21"/>
              </w:rPr>
              <w:t xml:space="preserve">Manufacturer of the GEnx-1B engines fitted to VT-ANB; holds FADEC software logic, engine maintenance history, and component teardown data.</w:t>
            </w:r>
          </w:p>
        </w:tc>
      </w:tr>
      <w:tr>
        <w:trPr>
          <w:tblHeader w:val="false"/>
        </w:trPr>
        <w:tc>
          <w:tcPr>
            <w:tcW w:type="dxa" w:w="3100"/>
            <w:tcMar>
              <w:top w:type="dxa" w:w="90"/>
              <w:left w:type="dxa" w:w="110"/>
              <w:bottom w:type="dxa" w:w="90"/>
              <w:right w:type="dxa" w:w="110"/>
            </w:tcMar>
            <w:vAlign w:val="center"/>
          </w:tcPr>
          <w:p>
            <w:r>
              <w:rPr>
                <w:rFonts w:ascii="Times New Roman" w:cs="Times New Roman" w:eastAsia="Times New Roman" w:hAnsi="Times New Roman"/>
                <w:b w:val="false"/>
                <w:bCs w:val="false"/>
                <w:sz w:val="21"/>
                <w:szCs w:val="21"/>
              </w:rPr>
              <w:t xml:space="preserve">U.S. National Transportation Safety Board (NTSB)</w:t>
            </w:r>
          </w:p>
        </w:tc>
        <w:tc>
          <w:tcPr>
            <w:tcW w:type="dxa" w:w="6250"/>
            <w:tcMar>
              <w:top w:type="dxa" w:w="90"/>
              <w:left w:type="dxa" w:w="110"/>
              <w:bottom w:type="dxa" w:w="90"/>
              <w:right w:type="dxa" w:w="110"/>
            </w:tcMar>
            <w:vAlign w:val="center"/>
          </w:tcPr>
          <w:p>
            <w:r>
              <w:rPr>
                <w:rFonts w:ascii="Times New Roman" w:cs="Times New Roman" w:eastAsia="Times New Roman" w:hAnsi="Times New Roman"/>
                <w:b w:val="false"/>
                <w:bCs w:val="false"/>
                <w:sz w:val="21"/>
                <w:szCs w:val="21"/>
              </w:rPr>
              <w:t xml:space="preserve">Accredited representative of the State of Design/Manufacture; historically active in high-profile international investigations involving U.S.-built aircraft.</w:t>
            </w:r>
          </w:p>
        </w:tc>
      </w:tr>
      <w:tr>
        <w:trPr>
          <w:tblHeader w:val="false"/>
        </w:trPr>
        <w:tc>
          <w:tcPr>
            <w:tcW w:type="dxa" w:w="3100"/>
            <w:tcMar>
              <w:top w:type="dxa" w:w="90"/>
              <w:left w:type="dxa" w:w="110"/>
              <w:bottom w:type="dxa" w:w="90"/>
              <w:right w:type="dxa" w:w="110"/>
            </w:tcMar>
            <w:vAlign w:val="center"/>
          </w:tcPr>
          <w:p>
            <w:r>
              <w:rPr>
                <w:rFonts w:ascii="Times New Roman" w:cs="Times New Roman" w:eastAsia="Times New Roman" w:hAnsi="Times New Roman"/>
                <w:b w:val="false"/>
                <w:bCs w:val="false"/>
                <w:sz w:val="21"/>
                <w:szCs w:val="21"/>
              </w:rPr>
              <w:t xml:space="preserve">U.S. Federal Aviation Administration (FAA)</w:t>
            </w:r>
          </w:p>
        </w:tc>
        <w:tc>
          <w:tcPr>
            <w:tcW w:type="dxa" w:w="6250"/>
            <w:tcMar>
              <w:top w:type="dxa" w:w="90"/>
              <w:left w:type="dxa" w:w="110"/>
              <w:bottom w:type="dxa" w:w="90"/>
              <w:right w:type="dxa" w:w="110"/>
            </w:tcMar>
            <w:vAlign w:val="center"/>
          </w:tcPr>
          <w:p>
            <w:r>
              <w:rPr>
                <w:rFonts w:ascii="Times New Roman" w:cs="Times New Roman" w:eastAsia="Times New Roman" w:hAnsi="Times New Roman"/>
                <w:b w:val="false"/>
                <w:bCs w:val="false"/>
                <w:sz w:val="21"/>
                <w:szCs w:val="21"/>
              </w:rPr>
              <w:t xml:space="preserve">Certifying regulator for the 787 type design and the GEnx-1B engine; relevant to any recommended airworthiness directive.</w:t>
            </w:r>
          </w:p>
        </w:tc>
      </w:tr>
      <w:tr>
        <w:trPr>
          <w:tblHeader w:val="false"/>
        </w:trPr>
        <w:tc>
          <w:tcPr>
            <w:tcW w:type="dxa" w:w="3100"/>
            <w:tcMar>
              <w:top w:type="dxa" w:w="90"/>
              <w:left w:type="dxa" w:w="110"/>
              <w:bottom w:type="dxa" w:w="90"/>
              <w:right w:type="dxa" w:w="110"/>
            </w:tcMar>
            <w:vAlign w:val="center"/>
          </w:tcPr>
          <w:p>
            <w:r>
              <w:rPr>
                <w:rFonts w:ascii="Times New Roman" w:cs="Times New Roman" w:eastAsia="Times New Roman" w:hAnsi="Times New Roman"/>
                <w:b w:val="false"/>
                <w:bCs w:val="false"/>
                <w:sz w:val="21"/>
                <w:szCs w:val="21"/>
              </w:rPr>
              <w:t xml:space="preserve">Federation of Indian Pilots (FIP) and affiliated associations</w:t>
            </w:r>
          </w:p>
        </w:tc>
        <w:tc>
          <w:tcPr>
            <w:tcW w:type="dxa" w:w="6250"/>
            <w:tcMar>
              <w:top w:type="dxa" w:w="90"/>
              <w:left w:type="dxa" w:w="110"/>
              <w:bottom w:type="dxa" w:w="90"/>
              <w:right w:type="dxa" w:w="110"/>
            </w:tcMar>
            <w:vAlign w:val="center"/>
          </w:tcPr>
          <w:p>
            <w:r>
              <w:rPr>
                <w:rFonts w:ascii="Times New Roman" w:cs="Times New Roman" w:eastAsia="Times New Roman" w:hAnsi="Times New Roman"/>
                <w:b w:val="false"/>
                <w:bCs w:val="false"/>
                <w:sz w:val="21"/>
                <w:szCs w:val="21"/>
              </w:rPr>
              <w:t xml:space="preserve">Represent the professional interests of Indian flight crew; have formally objected to premature public attribution of the accident to pilot action.</w:t>
            </w:r>
          </w:p>
        </w:tc>
      </w:tr>
      <w:tr>
        <w:trPr>
          <w:tblHeader w:val="false"/>
        </w:trPr>
        <w:tc>
          <w:tcPr>
            <w:tcW w:type="dxa" w:w="3100"/>
            <w:tcMar>
              <w:top w:type="dxa" w:w="90"/>
              <w:left w:type="dxa" w:w="110"/>
              <w:bottom w:type="dxa" w:w="90"/>
              <w:right w:type="dxa" w:w="110"/>
            </w:tcMar>
            <w:vAlign w:val="center"/>
          </w:tcPr>
          <w:p>
            <w:r>
              <w:rPr>
                <w:rFonts w:ascii="Times New Roman" w:cs="Times New Roman" w:eastAsia="Times New Roman" w:hAnsi="Times New Roman"/>
                <w:b w:val="false"/>
                <w:bCs w:val="false"/>
                <w:sz w:val="21"/>
                <w:szCs w:val="21"/>
              </w:rPr>
              <w:t xml:space="preserve">Families of the deceased and B.J. Medical College administration</w:t>
            </w:r>
          </w:p>
        </w:tc>
        <w:tc>
          <w:tcPr>
            <w:tcW w:type="dxa" w:w="6250"/>
            <w:tcMar>
              <w:top w:type="dxa" w:w="90"/>
              <w:left w:type="dxa" w:w="110"/>
              <w:bottom w:type="dxa" w:w="90"/>
              <w:right w:type="dxa" w:w="110"/>
            </w:tcMar>
            <w:vAlign w:val="center"/>
          </w:tcPr>
          <w:p>
            <w:r>
              <w:rPr>
                <w:rFonts w:ascii="Times New Roman" w:cs="Times New Roman" w:eastAsia="Times New Roman" w:hAnsi="Times New Roman"/>
                <w:b w:val="false"/>
                <w:bCs w:val="false"/>
                <w:sz w:val="21"/>
                <w:szCs w:val="21"/>
              </w:rPr>
              <w:t xml:space="preserve">Directly affected parties with an interest in transparency, timely findings, and appropriate compensation and support.</w:t>
            </w:r>
          </w:p>
        </w:tc>
      </w:tr>
      <w:tr>
        <w:trPr>
          <w:tblHeader w:val="false"/>
        </w:trPr>
        <w:tc>
          <w:tcPr>
            <w:tcW w:type="dxa" w:w="3100"/>
            <w:tcMar>
              <w:top w:type="dxa" w:w="90"/>
              <w:left w:type="dxa" w:w="110"/>
              <w:bottom w:type="dxa" w:w="90"/>
              <w:right w:type="dxa" w:w="110"/>
            </w:tcMar>
            <w:vAlign w:val="center"/>
          </w:tcPr>
          <w:p>
            <w:r>
              <w:rPr>
                <w:rFonts w:ascii="Times New Roman" w:cs="Times New Roman" w:eastAsia="Times New Roman" w:hAnsi="Times New Roman"/>
                <w:b w:val="false"/>
                <w:bCs w:val="false"/>
                <w:sz w:val="21"/>
                <w:szCs w:val="21"/>
              </w:rPr>
              <w:t xml:space="preserve">Air India Operations Control Centre (OCC) / Flight Dispatch</w:t>
            </w:r>
          </w:p>
        </w:tc>
        <w:tc>
          <w:tcPr>
            <w:tcW w:type="dxa" w:w="6250"/>
            <w:tcMar>
              <w:top w:type="dxa" w:w="90"/>
              <w:left w:type="dxa" w:w="110"/>
              <w:bottom w:type="dxa" w:w="90"/>
              <w:right w:type="dxa" w:w="110"/>
            </w:tcMar>
            <w:vAlign w:val="center"/>
          </w:tcPr>
          <w:p>
            <w:r>
              <w:rPr>
                <w:rFonts w:ascii="Times New Roman" w:cs="Times New Roman" w:eastAsia="Times New Roman" w:hAnsi="Times New Roman"/>
                <w:b w:val="false"/>
                <w:bCs w:val="false"/>
                <w:sz w:val="21"/>
                <w:szCs w:val="21"/>
              </w:rPr>
              <w:t xml:space="preserve">Held operational control of the flight and made the dispatch decision under the aircraft's Minimum Equipment List; holds fuel, weight, and flight-planning records for the sector.</w:t>
            </w:r>
          </w:p>
        </w:tc>
      </w:tr>
      <w:tr>
        <w:trPr>
          <w:tblHeader w:val="false"/>
        </w:trPr>
        <w:tc>
          <w:tcPr>
            <w:tcW w:type="dxa" w:w="3100"/>
            <w:tcMar>
              <w:top w:type="dxa" w:w="90"/>
              <w:left w:type="dxa" w:w="110"/>
              <w:bottom w:type="dxa" w:w="90"/>
              <w:right w:type="dxa" w:w="110"/>
            </w:tcMar>
            <w:vAlign w:val="center"/>
          </w:tcPr>
          <w:p>
            <w:r>
              <w:rPr>
                <w:rFonts w:ascii="Times New Roman" w:cs="Times New Roman" w:eastAsia="Times New Roman" w:hAnsi="Times New Roman"/>
                <w:b w:val="false"/>
                <w:bCs w:val="false"/>
                <w:sz w:val="21"/>
                <w:szCs w:val="21"/>
              </w:rPr>
              <w:t xml:space="preserve">Air India Engineering / Continuing Airworthiness Organisation</w:t>
            </w:r>
          </w:p>
        </w:tc>
        <w:tc>
          <w:tcPr>
            <w:tcW w:type="dxa" w:w="6250"/>
            <w:tcMar>
              <w:top w:type="dxa" w:w="90"/>
              <w:left w:type="dxa" w:w="110"/>
              <w:bottom w:type="dxa" w:w="90"/>
              <w:right w:type="dxa" w:w="110"/>
            </w:tcMar>
            <w:vAlign w:val="center"/>
          </w:tcPr>
          <w:p>
            <w:r>
              <w:rPr>
                <w:rFonts w:ascii="Times New Roman" w:cs="Times New Roman" w:eastAsia="Times New Roman" w:hAnsi="Times New Roman"/>
                <w:b w:val="false"/>
                <w:bCs w:val="false"/>
                <w:sz w:val="21"/>
                <w:szCs w:val="21"/>
              </w:rPr>
              <w:t xml:space="preserve">Responsible for VT-ANB's maintenance programme, deferred-defect tracking, and release-to-service history; holds the aircraft's full maintenance and modification records under DGCA-approved maintenance-organisation status.</w:t>
            </w:r>
          </w:p>
        </w:tc>
      </w:tr>
      <w:tr>
        <w:trPr>
          <w:tblHeader w:val="false"/>
        </w:trPr>
        <w:tc>
          <w:tcPr>
            <w:tcW w:type="dxa" w:w="3100"/>
            <w:tcMar>
              <w:top w:type="dxa" w:w="90"/>
              <w:left w:type="dxa" w:w="110"/>
              <w:bottom w:type="dxa" w:w="90"/>
              <w:right w:type="dxa" w:w="110"/>
            </w:tcMar>
            <w:vAlign w:val="center"/>
          </w:tcPr>
          <w:p>
            <w:r>
              <w:rPr>
                <w:rFonts w:ascii="Times New Roman" w:cs="Times New Roman" w:eastAsia="Times New Roman" w:hAnsi="Times New Roman"/>
                <w:b w:val="false"/>
                <w:bCs w:val="false"/>
                <w:sz w:val="21"/>
                <w:szCs w:val="21"/>
              </w:rPr>
              <w:t xml:space="preserve">International Civil Aviation Organization (ICAO)</w:t>
            </w:r>
          </w:p>
        </w:tc>
        <w:tc>
          <w:tcPr>
            <w:tcW w:type="dxa" w:w="6250"/>
            <w:tcMar>
              <w:top w:type="dxa" w:w="90"/>
              <w:left w:type="dxa" w:w="110"/>
              <w:bottom w:type="dxa" w:w="90"/>
              <w:right w:type="dxa" w:w="110"/>
            </w:tcMar>
            <w:vAlign w:val="center"/>
          </w:tcPr>
          <w:p>
            <w:r>
              <w:rPr>
                <w:rFonts w:ascii="Times New Roman" w:cs="Times New Roman" w:eastAsia="Times New Roman" w:hAnsi="Times New Roman"/>
                <w:b w:val="false"/>
                <w:bCs w:val="false"/>
                <w:sz w:val="21"/>
                <w:szCs w:val="21"/>
              </w:rPr>
              <w:t xml:space="preserve">Custodian of the Annex 13 framework under which the entire investigation is conducted.</w:t>
            </w:r>
          </w:p>
        </w:tc>
      </w:tr>
    </w:tbl>
    <w:p>
      <w:pPr>
        <w:spacing w:after="260" w:before="60"/>
      </w:pPr>
      <w:r>
        <w:rPr>
          <w:rFonts w:ascii="Times New Roman" w:cs="Times New Roman" w:eastAsia="Times New Roman" w:hAnsi="Times New Roman"/>
          <w:i/>
          <w:iCs/>
          <w:sz w:val="20"/>
          <w:szCs w:val="20"/>
        </w:rPr>
        <w:t xml:space="preserve">Table 2. Delegations represented in this committee and their standing in the investigation.</w:t>
      </w:r>
    </w:p>
    <w:p>
      <w:pPr>
        <w:spacing w:after="200" w:line="336"/>
        <w:ind w:firstLine="360"/>
        <w:jc w:val="both"/>
      </w:pPr>
      <w:r>
        <w:rPr>
          <w:rFonts w:ascii="Times New Roman" w:cs="Times New Roman" w:eastAsia="Times New Roman" w:hAnsi="Times New Roman"/>
          <w:sz w:val="24"/>
          <w:szCs w:val="24"/>
        </w:rPr>
        <w:t xml:space="preserve">Delegates should note that these interests are not always aligned, and in several cases are in open tension with one another. Boeing and GE Aerospace, for instance, have an obvious commercial and reputational interest in the investigation not finding a design or manufacturing fault, while the FIP has an equally obvious professional interest in the investigation not resting its conclusions on pilot error without conclusive evidence. Part of what makes this committee interesting, and part of what We expect delegates to grapple with directly rather than talk around, is that a rigorous investigation has to be able to follow the evidence even when it is inconvenient for the delegation you represent.</w:t>
      </w:r>
    </w:p>
    <w:p>
      <w:pPr>
        <w:pStyle w:val="Heading1"/>
        <w:spacing w:after="180" w:before="360"/>
      </w:pPr>
      <w:r>
        <w:rPr>
          <w:rFonts w:ascii="Times New Roman" w:cs="Times New Roman" w:eastAsia="Times New Roman" w:hAnsi="Times New Roman"/>
          <w:b/>
          <w:bCs/>
          <w:sz w:val="28"/>
          <w:szCs w:val="28"/>
          <w:u w:val="single"/>
        </w:rPr>
        <w:t xml:space="preserve">11. Legal and Regulatory Framework</w:t>
      </w:r>
    </w:p>
    <w:p>
      <w:pPr>
        <w:pStyle w:val="Heading2"/>
        <w:spacing w:after="120" w:before="260"/>
      </w:pPr>
      <w:r>
        <w:rPr>
          <w:rFonts w:ascii="Times New Roman" w:cs="Times New Roman" w:eastAsia="Times New Roman" w:hAnsi="Times New Roman"/>
          <w:b/>
          <w:bCs/>
          <w:sz w:val="24"/>
          <w:szCs w:val="24"/>
        </w:rPr>
        <w:t xml:space="preserve">9.1 The Chicago Convention and Annex 13</w:t>
      </w:r>
    </w:p>
    <w:p>
      <w:pPr>
        <w:spacing w:after="200" w:line="336"/>
        <w:ind w:firstLine="360"/>
        <w:jc w:val="both"/>
      </w:pPr>
      <w:r>
        <w:rPr>
          <w:rFonts w:ascii="Times New Roman" w:cs="Times New Roman" w:eastAsia="Times New Roman" w:hAnsi="Times New Roman"/>
          <w:sz w:val="24"/>
          <w:szCs w:val="24"/>
        </w:rPr>
        <w:t xml:space="preserve">The 1944 Convention on International Civil Aviation, generally known as the Chicago Convention, created the International Civil Aviation Organization and the system of technical Annexes that still governs international civil aviation today. Annex 13, titled Aircraft Accident and Incident Investigation, is the specific instrument that matters most for this committee. It defines several categories of interested State, each entitled to appoint an accredited representative to take part in an investigation: the State of Occurrence, where the accident happened; the State of Registry and State of the Operator, in this case both India; and the State of Design and State of Manufacture, in this case the United States, given that both Boeing and GE Aerospace are American companies. As already noted, Annex 13 Standard 3.1 fixes the sole objective of the whole process as accident prevention, not blame.</w:t>
      </w:r>
    </w:p>
    <w:p>
      <w:pPr>
        <w:pStyle w:val="Heading2"/>
        <w:spacing w:after="120" w:before="260"/>
      </w:pPr>
      <w:r>
        <w:rPr>
          <w:rFonts w:ascii="Times New Roman" w:cs="Times New Roman" w:eastAsia="Times New Roman" w:hAnsi="Times New Roman"/>
          <w:b/>
          <w:bCs/>
          <w:sz w:val="24"/>
          <w:szCs w:val="24"/>
        </w:rPr>
        <w:t xml:space="preserve">9.2 India's Domestic Framework</w:t>
      </w:r>
    </w:p>
    <w:p>
      <w:pPr>
        <w:spacing w:after="200" w:line="336"/>
        <w:ind w:firstLine="360"/>
        <w:jc w:val="both"/>
      </w:pPr>
      <w:r>
        <w:rPr>
          <w:rFonts w:ascii="Times New Roman" w:cs="Times New Roman" w:eastAsia="Times New Roman" w:hAnsi="Times New Roman"/>
          <w:sz w:val="24"/>
          <w:szCs w:val="24"/>
        </w:rPr>
        <w:t xml:space="preserve">Domestically, the Aircraft (Investigation of Accidents and Incidents) Rules, 2017 give legal effect to India's Annex 13 obligations, establishing the AAIB as the country's investigating authority and setting out its powers, including custody of wreckage and recorders, access to records, and the process for preliminary and final reports. These Rules are themselves a useful point of comparison for delegates researching how other Annex 13 signatory States have structured their own domestic investigative bodies.</w:t>
      </w:r>
    </w:p>
    <w:p>
      <w:pPr>
        <w:pStyle w:val="Heading2"/>
        <w:spacing w:after="120" w:before="260"/>
      </w:pPr>
      <w:r>
        <w:rPr>
          <w:rFonts w:ascii="Times New Roman" w:cs="Times New Roman" w:eastAsia="Times New Roman" w:hAnsi="Times New Roman"/>
          <w:b/>
          <w:bCs/>
          <w:sz w:val="24"/>
          <w:szCs w:val="24"/>
        </w:rPr>
        <w:t xml:space="preserve">9.3 Comparative Models</w:t>
      </w:r>
    </w:p>
    <w:p>
      <w:pPr>
        <w:spacing w:after="200" w:line="336"/>
        <w:ind w:firstLine="360"/>
        <w:jc w:val="both"/>
      </w:pPr>
      <w:r>
        <w:rPr>
          <w:rFonts w:ascii="Times New Roman" w:cs="Times New Roman" w:eastAsia="Times New Roman" w:hAnsi="Times New Roman"/>
          <w:sz w:val="24"/>
          <w:szCs w:val="24"/>
        </w:rPr>
        <w:t xml:space="preserve">The separation of investigator from regulator that defines the AAIB-DGCA relationship in India mirrors the NTSB-FAA relationship in the United States and the UK AAIB's separation from the UK Civil Aviation Authority. Delegates representing the American delegations in particular should be ready to discuss how the NTSB's independence, and its lack of enforcement power, shapes the credibility of its recommendations compared with a regulator investigating itself.</w:t>
      </w:r>
    </w:p>
    <w:p>
      <w:pPr>
        <w:pStyle w:val="Heading2"/>
        <w:spacing w:after="120" w:before="260"/>
      </w:pPr>
      <w:r>
        <w:rPr>
          <w:rFonts w:ascii="Times New Roman" w:cs="Times New Roman" w:eastAsia="Times New Roman" w:hAnsi="Times New Roman"/>
          <w:b/>
          <w:bCs/>
          <w:sz w:val="24"/>
          <w:szCs w:val="24"/>
        </w:rPr>
        <w:t xml:space="preserve">9.4 DGCA's Civil Aviation Requirements (CARs)</w:t>
      </w:r>
    </w:p>
    <w:p>
      <w:pPr>
        <w:spacing w:after="200" w:line="336"/>
        <w:ind w:firstLine="360"/>
        <w:jc w:val="both"/>
      </w:pPr>
      <w:r>
        <w:rPr>
          <w:rFonts w:ascii="Times New Roman" w:cs="Times New Roman" w:eastAsia="Times New Roman" w:hAnsi="Times New Roman"/>
          <w:sz w:val="24"/>
          <w:szCs w:val="24"/>
        </w:rPr>
        <w:t xml:space="preserve">Separately from the 2017 investigation Rules, the DGCA's day-to-day regulatory authority over Indian civil aviation is exercised through Civil Aviation Requirements, generally called CARs, issued under its rule-making power in the Aircraft Rules, 1937, and functioning in practice as India's binding aviation regulations. CARs are organised into broad numbered Sections, such as General, Airworthiness, Air Transport, Aerodromes, and Air Safety, each of which is further divided into lettered Series and then into numbered Parts, with individual Parts revised periodically as standards evolve. Several CAR provisions are directly relevant to this committee's work. One requires every operator, maintenance organisation, and training organisation to establish a formal Safety Management System aligned with ICAO Annex 19, giving DGCA a standing mechanism to review how safety hazards are identified and escalated. A separate CAR series governs the approval of organisations that manufacture, maintain, modify, or repair aircraft and components, a framework functionally similar to the Part-145 maintenance-organisation approval system used by EASA, under which Air India's Engineering function, or any contracted maintenance provider working on VT-ANB, would itself need to hold DGCA approval. Other CAR provisions address flight data monitoring obligations, MEL policy and dispatch authority, and the handling of maintenance-related human error. Delegates representing the DGCA should be prepared to identify which specific CARs are engaged by each element of this accident, dispatch, maintenance, and engine-type acceptance among them, and to take a position on whether the existing CAR framework is adequate or should be amended as part of this committee's recommendations. Delegates representing other delegations should not simply defer to the DGCA's framing of its own regulations; a credible investigation tests whether the regulator's own rules were followed and whether those rules were sufficient in the first place.</w:t>
      </w:r>
    </w:p>
    <w:p>
      <w:pPr>
        <w:pStyle w:val="Heading1"/>
        <w:spacing w:after="180" w:before="360"/>
      </w:pPr>
      <w:r>
        <w:rPr>
          <w:rFonts w:ascii="Times New Roman" w:cs="Times New Roman" w:eastAsia="Times New Roman" w:hAnsi="Times New Roman"/>
          <w:b/>
          <w:bCs/>
          <w:sz w:val="28"/>
          <w:szCs w:val="28"/>
          <w:u w:val="single"/>
        </w:rPr>
        <w:t xml:space="preserve">12. Committee Mandate and Scope of Debate</w:t>
      </w:r>
    </w:p>
    <w:p>
      <w:pPr>
        <w:spacing w:after="200" w:line="336"/>
        <w:ind w:firstLine="360"/>
        <w:jc w:val="both"/>
      </w:pPr>
      <w:r>
        <w:rPr>
          <w:rFonts w:ascii="Times New Roman" w:cs="Times New Roman" w:eastAsia="Times New Roman" w:hAnsi="Times New Roman"/>
          <w:sz w:val="24"/>
          <w:szCs w:val="24"/>
        </w:rPr>
        <w:t xml:space="preserve">This committee exists to produce the kind of substantive, technically specific safety recommendations that would belong in the recommendations section of a genuine Annex 13 final report. It does not exist to reach a personal verdict on the conduct of the flight crew, and We will not allow debate to collapse into speculation about named, deceased individuals; that is neither good investigative practice nor within this committee's competence, and the real AAIB has itself pointedly declined to do this more than a year into its own investigation. The following areas, among others, are ones We would expect a serious draft resolution to engage with in real depth rather than in passing:</w:t>
      </w:r>
    </w:p>
    <w:p>
      <w:pPr>
        <w:pStyle w:val="ListParagraph"/>
        <w:numPr>
          <w:ilvl w:val="0"/>
          <w:numId w:val="2"/>
        </w:numPr>
        <w:spacing w:after="100" w:line="320"/>
      </w:pPr>
      <w:r>
        <w:rPr>
          <w:rFonts w:ascii="Times New Roman" w:cs="Times New Roman" w:eastAsia="Times New Roman" w:hAnsi="Times New Roman"/>
          <w:sz w:val="24"/>
          <w:szCs w:val="24"/>
        </w:rPr>
        <w:t xml:space="preserve">Whether current mechanical safeguards on fuel control switches, including the detent and guard design, remain adequate, or whether additional physical or electronic safeguards against inadvertent or unexplained movement should be recommended.</w:t>
      </w:r>
    </w:p>
    <w:p>
      <w:pPr>
        <w:pStyle w:val="ListParagraph"/>
        <w:numPr>
          <w:ilvl w:val="0"/>
          <w:numId w:val="2"/>
        </w:numPr>
        <w:spacing w:after="100" w:line="320"/>
      </w:pPr>
      <w:r>
        <w:rPr>
          <w:rFonts w:ascii="Times New Roman" w:cs="Times New Roman" w:eastAsia="Times New Roman" w:hAnsi="Times New Roman"/>
          <w:sz w:val="24"/>
          <w:szCs w:val="24"/>
        </w:rPr>
        <w:t xml:space="preserve">How automated engine-protection logic such as TCMA should be certified, independently tested, and disclosed to investigators, so that its role in a future accident can be conclusively confirmed or excluded far more quickly than has been possible here.</w:t>
      </w:r>
    </w:p>
    <w:p>
      <w:pPr>
        <w:pStyle w:val="ListParagraph"/>
        <w:numPr>
          <w:ilvl w:val="0"/>
          <w:numId w:val="2"/>
        </w:numPr>
        <w:spacing w:after="100" w:line="320"/>
      </w:pPr>
      <w:r>
        <w:rPr>
          <w:rFonts w:ascii="Times New Roman" w:cs="Times New Roman" w:eastAsia="Times New Roman" w:hAnsi="Times New Roman"/>
          <w:sz w:val="24"/>
          <w:szCs w:val="24"/>
        </w:rPr>
        <w:t xml:space="preserve">What standards should govern flight data and cockpit voice recorder capacity, redundancy, and data-sharing between an investigating State and accredited foreign States.</w:t>
      </w:r>
    </w:p>
    <w:p>
      <w:pPr>
        <w:pStyle w:val="ListParagraph"/>
        <w:numPr>
          <w:ilvl w:val="0"/>
          <w:numId w:val="2"/>
        </w:numPr>
        <w:spacing w:after="100" w:line="320"/>
      </w:pPr>
      <w:r>
        <w:rPr>
          <w:rFonts w:ascii="Times New Roman" w:cs="Times New Roman" w:eastAsia="Times New Roman" w:hAnsi="Times New Roman"/>
          <w:sz w:val="24"/>
          <w:szCs w:val="24"/>
        </w:rPr>
        <w:t xml:space="preserve">How Minimum Equipment List provisions, of the kind open on VT-ANB at dispatch, should be governed and reviewed for cumulative risk rather than only item by item.</w:t>
      </w:r>
    </w:p>
    <w:p>
      <w:pPr>
        <w:pStyle w:val="ListParagraph"/>
        <w:numPr>
          <w:ilvl w:val="0"/>
          <w:numId w:val="2"/>
        </w:numPr>
        <w:spacing w:after="100" w:line="320"/>
      </w:pPr>
      <w:r>
        <w:rPr>
          <w:rFonts w:ascii="Times New Roman" w:cs="Times New Roman" w:eastAsia="Times New Roman" w:hAnsi="Times New Roman"/>
          <w:sz w:val="24"/>
          <w:szCs w:val="24"/>
        </w:rPr>
        <w:t xml:space="preserve">Whether Annex 13's cross-border coordination requirements need reform to prevent investigations of this scale from taking well over a year without a published cause, and what balance should be struck between speed and rigour.</w:t>
      </w:r>
    </w:p>
    <w:p>
      <w:pPr>
        <w:pStyle w:val="ListParagraph"/>
        <w:numPr>
          <w:ilvl w:val="0"/>
          <w:numId w:val="2"/>
        </w:numPr>
        <w:spacing w:after="100" w:line="320"/>
      </w:pPr>
      <w:r>
        <w:rPr>
          <w:rFonts w:ascii="Times New Roman" w:cs="Times New Roman" w:eastAsia="Times New Roman" w:hAnsi="Times New Roman"/>
          <w:sz w:val="24"/>
          <w:szCs w:val="24"/>
        </w:rPr>
        <w:t xml:space="preserve">What crew resource management and dual-verification standards should apply to any safety-critical cockpit action, to reduce ambiguity in exactly this kind of scenario.</w:t>
      </w:r>
    </w:p>
    <w:p>
      <w:pPr>
        <w:pStyle w:val="ListParagraph"/>
        <w:numPr>
          <w:ilvl w:val="0"/>
          <w:numId w:val="2"/>
        </w:numPr>
        <w:spacing w:after="100" w:line="320"/>
      </w:pPr>
      <w:r>
        <w:rPr>
          <w:rFonts w:ascii="Times New Roman" w:cs="Times New Roman" w:eastAsia="Times New Roman" w:hAnsi="Times New Roman"/>
          <w:sz w:val="24"/>
          <w:szCs w:val="24"/>
        </w:rPr>
        <w:t xml:space="preserve">How investigating authorities should communicate with the public and media during a long investigation, in a way that satisfies legitimate demand for transparency without inviting the kind of premature attribution seen after the preliminary report.</w:t>
      </w:r>
    </w:p>
    <w:p>
      <w:pPr>
        <w:pStyle w:val="ListParagraph"/>
        <w:numPr>
          <w:ilvl w:val="0"/>
          <w:numId w:val="2"/>
        </w:numPr>
        <w:spacing w:after="100" w:line="320"/>
      </w:pPr>
      <w:r>
        <w:rPr>
          <w:rFonts w:ascii="Times New Roman" w:cs="Times New Roman" w:eastAsia="Times New Roman" w:hAnsi="Times New Roman"/>
          <w:sz w:val="24"/>
          <w:szCs w:val="24"/>
        </w:rPr>
        <w:t xml:space="preserve">Whether Air India's Operations Control Centre and Engineering/Continuing Airworthiness functions applied MEL and maintenance procedures correctly in the lead-up to this flight, and whether DGCA's Civil Aviation Requirements governing dispatch, maintenance-organisation approval, and flight data monitoring are themselves adequate or need strengthening.</w:t>
      </w:r>
    </w:p>
    <w:p>
      <w:pPr>
        <w:pStyle w:val="ListParagraph"/>
        <w:numPr>
          <w:ilvl w:val="0"/>
          <w:numId w:val="2"/>
        </w:numPr>
        <w:spacing w:after="100" w:line="320"/>
      </w:pPr>
      <w:r>
        <w:rPr>
          <w:rFonts w:ascii="Times New Roman" w:cs="Times New Roman" w:eastAsia="Times New Roman" w:hAnsi="Times New Roman"/>
          <w:sz w:val="24"/>
          <w:szCs w:val="24"/>
        </w:rPr>
        <w:t xml:space="preserve">What support, communication, and compensation frameworks should apply to the families of the deceased and to the affected community at B.J. Medical College.</w:t>
      </w:r>
    </w:p>
    <w:p>
      <w:pPr>
        <w:pStyle w:val="Heading1"/>
        <w:spacing w:after="180" w:before="360"/>
      </w:pPr>
      <w:r>
        <w:rPr>
          <w:rFonts w:ascii="Times New Roman" w:cs="Times New Roman" w:eastAsia="Times New Roman" w:hAnsi="Times New Roman"/>
          <w:b/>
          <w:bCs/>
          <w:sz w:val="28"/>
          <w:szCs w:val="28"/>
          <w:u w:val="single"/>
        </w:rPr>
        <w:t xml:space="preserve">13. Questions a Resolution Must Answer (QARMA)</w:t>
      </w:r>
    </w:p>
    <w:p>
      <w:pPr>
        <w:pStyle w:val="ListParagraph"/>
        <w:numPr>
          <w:ilvl w:val="0"/>
          <w:numId w:val="3"/>
        </w:numPr>
        <w:spacing w:after="100" w:line="320"/>
      </w:pPr>
      <w:r>
        <w:rPr>
          <w:rFonts w:ascii="Times New Roman" w:cs="Times New Roman" w:eastAsia="Times New Roman" w:hAnsi="Times New Roman"/>
          <w:sz w:val="24"/>
          <w:szCs w:val="24"/>
        </w:rPr>
        <w:t xml:space="preserve">Which specific findings in the AAIB's preliminary report can this committee treat as an established evidentiary basis, and where must a resolution explicitly acknowledge that causation is still undetermined?</w:t>
      </w:r>
    </w:p>
    <w:p>
      <w:pPr>
        <w:pStyle w:val="ListParagraph"/>
        <w:numPr>
          <w:ilvl w:val="0"/>
          <w:numId w:val="3"/>
        </w:numPr>
        <w:spacing w:after="100" w:line="320"/>
      </w:pPr>
      <w:r>
        <w:rPr>
          <w:rFonts w:ascii="Times New Roman" w:cs="Times New Roman" w:eastAsia="Times New Roman" w:hAnsi="Times New Roman"/>
          <w:sz w:val="24"/>
          <w:szCs w:val="24"/>
        </w:rPr>
        <w:t xml:space="preserve">What mechanical, electronic, or procedural changes should be recommended to reduce the probability of an unexplained dual-engine fuel cutoff, independent of what is ultimately found to have caused this specific accident?</w:t>
      </w:r>
    </w:p>
    <w:p>
      <w:pPr>
        <w:pStyle w:val="ListParagraph"/>
        <w:numPr>
          <w:ilvl w:val="0"/>
          <w:numId w:val="3"/>
        </w:numPr>
        <w:spacing w:after="100" w:line="320"/>
      </w:pPr>
      <w:r>
        <w:rPr>
          <w:rFonts w:ascii="Times New Roman" w:cs="Times New Roman" w:eastAsia="Times New Roman" w:hAnsi="Times New Roman"/>
          <w:sz w:val="24"/>
          <w:szCs w:val="24"/>
        </w:rPr>
        <w:t xml:space="preserve">How should automated protection logic such as TCMA be certified and disclosed so that its role in an accident can be established or ruled out far more quickly in future investigations?</w:t>
      </w:r>
    </w:p>
    <w:p>
      <w:pPr>
        <w:pStyle w:val="ListParagraph"/>
        <w:numPr>
          <w:ilvl w:val="0"/>
          <w:numId w:val="3"/>
        </w:numPr>
        <w:spacing w:after="100" w:line="320"/>
      </w:pPr>
      <w:r>
        <w:rPr>
          <w:rFonts w:ascii="Times New Roman" w:cs="Times New Roman" w:eastAsia="Times New Roman" w:hAnsi="Times New Roman"/>
          <w:sz w:val="24"/>
          <w:szCs w:val="24"/>
        </w:rPr>
        <w:t xml:space="preserve">Should Annex 13's cross-State coordination process be reformed to shorten investigation timelines of this kind, and if so, how, without compromising the rigour of the final findings?</w:t>
      </w:r>
    </w:p>
    <w:p>
      <w:pPr>
        <w:pStyle w:val="ListParagraph"/>
        <w:numPr>
          <w:ilvl w:val="0"/>
          <w:numId w:val="3"/>
        </w:numPr>
        <w:spacing w:after="100" w:line="320"/>
      </w:pPr>
      <w:r>
        <w:rPr>
          <w:rFonts w:ascii="Times New Roman" w:cs="Times New Roman" w:eastAsia="Times New Roman" w:hAnsi="Times New Roman"/>
          <w:sz w:val="24"/>
          <w:szCs w:val="24"/>
        </w:rPr>
        <w:t xml:space="preserve">How should this committee weigh the public and the families' legitimate demand for timely answers against the real risk that premature conclusions cause irreversible harm to individuals and institutions?</w:t>
      </w:r>
    </w:p>
    <w:p>
      <w:pPr>
        <w:pStyle w:val="ListParagraph"/>
        <w:numPr>
          <w:ilvl w:val="0"/>
          <w:numId w:val="3"/>
        </w:numPr>
        <w:spacing w:after="100" w:line="320"/>
      </w:pPr>
      <w:r>
        <w:rPr>
          <w:rFonts w:ascii="Times New Roman" w:cs="Times New Roman" w:eastAsia="Times New Roman" w:hAnsi="Times New Roman"/>
          <w:sz w:val="24"/>
          <w:szCs w:val="24"/>
        </w:rPr>
        <w:t xml:space="preserve">What recommendations should be made regarding compensation, communication, and long-term support for the families of the deceased and the affected ground community?</w:t>
      </w:r>
    </w:p>
    <w:p>
      <w:pPr>
        <w:pStyle w:val="ListParagraph"/>
        <w:numPr>
          <w:ilvl w:val="0"/>
          <w:numId w:val="3"/>
        </w:numPr>
        <w:spacing w:after="100" w:line="320"/>
      </w:pPr>
      <w:r>
        <w:rPr>
          <w:rFonts w:ascii="Times New Roman" w:cs="Times New Roman" w:eastAsia="Times New Roman" w:hAnsi="Times New Roman"/>
          <w:sz w:val="24"/>
          <w:szCs w:val="24"/>
        </w:rPr>
        <w:t xml:space="preserve">Did the Operations Control Centre's dispatch decision and Engineering's maintenance and deferred-defect records for VT-ANB comply with applicable DGCA Civil Aviation Requirements, and does this accident expose gaps in those Requirements themselves?</w:t>
      </w:r>
    </w:p>
    <w:p>
      <w:pPr>
        <w:pStyle w:val="Heading1"/>
        <w:spacing w:after="180" w:before="360"/>
      </w:pPr>
      <w:r>
        <w:rPr>
          <w:rFonts w:ascii="Times New Roman" w:cs="Times New Roman" w:eastAsia="Times New Roman" w:hAnsi="Times New Roman"/>
          <w:b/>
          <w:bCs/>
          <w:sz w:val="28"/>
          <w:szCs w:val="28"/>
          <w:u w:val="single"/>
        </w:rPr>
        <w:t xml:space="preserve">14. Notes on Committee Procedure</w:t>
      </w:r>
    </w:p>
    <w:p>
      <w:pPr>
        <w:spacing w:after="200" w:line="336"/>
        <w:ind w:firstLine="360"/>
        <w:jc w:val="both"/>
      </w:pPr>
      <w:r>
        <w:rPr>
          <w:rFonts w:ascii="Times New Roman" w:cs="Times New Roman" w:eastAsia="Times New Roman" w:hAnsi="Times New Roman"/>
          <w:sz w:val="24"/>
          <w:szCs w:val="24"/>
        </w:rPr>
        <w:t xml:space="preserve">This committee will run under broadly standard Rules of Procedure: a general speakers' list, moderated and unmoderated caucuses, and the usual points and motions, moving eventually toward working papers and a draft resolution (or, given the technical nature of this committee, potentially a joint communiqué in the style of a real safety-recommendations annex, if the committee prefers that format once in session). What will differ from a conventional GA committee is the standard of evidence We will expect in caucus. A delegate asserting a technical claim, for instance about what FADEC does in a given failure mode, should expect to be asked directly where that claim comes from. Delegates are encouraged, though not required, to bring printed or digital copies of the AAIB preliminary report and any other primary source they intend to rely on.</w:t>
      </w:r>
    </w:p>
    <w:p>
      <w:pPr>
        <w:spacing w:after="200" w:line="336"/>
        <w:ind w:firstLine="360"/>
        <w:jc w:val="both"/>
      </w:pPr>
      <w:r>
        <w:rPr>
          <w:rFonts w:ascii="Times New Roman" w:cs="Times New Roman" w:eastAsia="Times New Roman" w:hAnsi="Times New Roman"/>
          <w:sz w:val="24"/>
          <w:szCs w:val="24"/>
        </w:rPr>
        <w:t xml:space="preserve">Position papers should be submitted ahead of the conference in the format specified separately by the conference secretariat, but at minimum should include: your delegation's institutional mandate and interest in this specific investigation; a clear, sourced summary of what is and is not established by the preliminary report; and at least three concrete policy or technical recommendations your delegation intends to advance in committee.</w:t>
      </w:r>
    </w:p>
    <w:p>
      <w:pPr>
        <w:pStyle w:val="Heading1"/>
        <w:spacing w:after="180" w:before="360"/>
      </w:pPr>
      <w:r>
        <w:rPr>
          <w:rFonts w:ascii="Times New Roman" w:cs="Times New Roman" w:eastAsia="Times New Roman" w:hAnsi="Times New Roman"/>
          <w:b/>
          <w:bCs/>
          <w:sz w:val="28"/>
          <w:szCs w:val="28"/>
          <w:u w:val="single"/>
        </w:rPr>
        <w:t xml:space="preserve">15. Glossary of Key Terms</w:t>
      </w:r>
    </w:p>
    <w:p>
      <w:pPr>
        <w:pStyle w:val="ListParagraph"/>
        <w:numPr>
          <w:ilvl w:val="0"/>
          <w:numId w:val="2"/>
        </w:numPr>
        <w:spacing w:after="100" w:line="320"/>
      </w:pPr>
      <w:r>
        <w:rPr>
          <w:rFonts w:ascii="Times New Roman" w:cs="Times New Roman" w:eastAsia="Times New Roman" w:hAnsi="Times New Roman"/>
          <w:sz w:val="24"/>
          <w:szCs w:val="24"/>
        </w:rPr>
        <w:t xml:space="preserve">AAIB — Aircraft Accident Investigation Bureau (India); also the acronym used, confusingly, by the equivalent body in the United Kingdom.</w:t>
      </w:r>
    </w:p>
    <w:p>
      <w:pPr>
        <w:pStyle w:val="ListParagraph"/>
        <w:numPr>
          <w:ilvl w:val="0"/>
          <w:numId w:val="2"/>
        </w:numPr>
        <w:spacing w:after="100" w:line="320"/>
      </w:pPr>
      <w:r>
        <w:rPr>
          <w:rFonts w:ascii="Times New Roman" w:cs="Times New Roman" w:eastAsia="Times New Roman" w:hAnsi="Times New Roman"/>
          <w:sz w:val="24"/>
          <w:szCs w:val="24"/>
        </w:rPr>
        <w:t xml:space="preserve">Annex 13 — the ICAO Annex governing international standards and recommended practices for aircraft accident and incident investigation.</w:t>
      </w:r>
    </w:p>
    <w:p>
      <w:pPr>
        <w:pStyle w:val="ListParagraph"/>
        <w:numPr>
          <w:ilvl w:val="0"/>
          <w:numId w:val="2"/>
        </w:numPr>
        <w:spacing w:after="100" w:line="320"/>
      </w:pPr>
      <w:r>
        <w:rPr>
          <w:rFonts w:ascii="Times New Roman" w:cs="Times New Roman" w:eastAsia="Times New Roman" w:hAnsi="Times New Roman"/>
          <w:sz w:val="24"/>
          <w:szCs w:val="24"/>
        </w:rPr>
        <w:t xml:space="preserve">CAR — Civil Aviation Requirement, a binding regulation issued by the DGCA, organised by Section, Series, and Part.</w:t>
      </w:r>
    </w:p>
    <w:p>
      <w:pPr>
        <w:pStyle w:val="ListParagraph"/>
        <w:numPr>
          <w:ilvl w:val="0"/>
          <w:numId w:val="2"/>
        </w:numPr>
        <w:spacing w:after="100" w:line="320"/>
      </w:pPr>
      <w:r>
        <w:rPr>
          <w:rFonts w:ascii="Times New Roman" w:cs="Times New Roman" w:eastAsia="Times New Roman" w:hAnsi="Times New Roman"/>
          <w:sz w:val="24"/>
          <w:szCs w:val="24"/>
        </w:rPr>
        <w:t xml:space="preserve">CRS — Certificate of Release to Service, issued by an approved maintenance organisation after maintenance work is completed.</w:t>
      </w:r>
    </w:p>
    <w:p>
      <w:pPr>
        <w:pStyle w:val="ListParagraph"/>
        <w:numPr>
          <w:ilvl w:val="0"/>
          <w:numId w:val="2"/>
        </w:numPr>
        <w:spacing w:after="100" w:line="320"/>
      </w:pPr>
      <w:r>
        <w:rPr>
          <w:rFonts w:ascii="Times New Roman" w:cs="Times New Roman" w:eastAsia="Times New Roman" w:hAnsi="Times New Roman"/>
          <w:sz w:val="24"/>
          <w:szCs w:val="24"/>
        </w:rPr>
        <w:t xml:space="preserve">CVR — Cockpit Voice Recorder.</w:t>
      </w:r>
    </w:p>
    <w:p>
      <w:pPr>
        <w:pStyle w:val="ListParagraph"/>
        <w:numPr>
          <w:ilvl w:val="0"/>
          <w:numId w:val="2"/>
        </w:numPr>
        <w:spacing w:after="100" w:line="320"/>
      </w:pPr>
      <w:r>
        <w:rPr>
          <w:rFonts w:ascii="Times New Roman" w:cs="Times New Roman" w:eastAsia="Times New Roman" w:hAnsi="Times New Roman"/>
          <w:sz w:val="24"/>
          <w:szCs w:val="24"/>
        </w:rPr>
        <w:t xml:space="preserve">DGCA — Directorate General of Civil Aviation, India's civil aviation regulator.</w:t>
      </w:r>
    </w:p>
    <w:p>
      <w:pPr>
        <w:pStyle w:val="ListParagraph"/>
        <w:numPr>
          <w:ilvl w:val="0"/>
          <w:numId w:val="2"/>
        </w:numPr>
        <w:spacing w:after="100" w:line="320"/>
      </w:pPr>
      <w:r>
        <w:rPr>
          <w:rFonts w:ascii="Times New Roman" w:cs="Times New Roman" w:eastAsia="Times New Roman" w:hAnsi="Times New Roman"/>
          <w:sz w:val="24"/>
          <w:szCs w:val="24"/>
        </w:rPr>
        <w:t xml:space="preserve">FDM / FOQA — Flight Data Monitoring / Flight Operations Quality Assurance, an operator's programme for trend-analysing routine flight data.</w:t>
      </w:r>
    </w:p>
    <w:p>
      <w:pPr>
        <w:pStyle w:val="ListParagraph"/>
        <w:numPr>
          <w:ilvl w:val="0"/>
          <w:numId w:val="2"/>
        </w:numPr>
        <w:spacing w:after="100" w:line="320"/>
      </w:pPr>
      <w:r>
        <w:rPr>
          <w:rFonts w:ascii="Times New Roman" w:cs="Times New Roman" w:eastAsia="Times New Roman" w:hAnsi="Times New Roman"/>
          <w:sz w:val="24"/>
          <w:szCs w:val="24"/>
        </w:rPr>
        <w:t xml:space="preserve">FADEC — Full Authority Digital Engine Control, the computer system governing modern jet engine operation.</w:t>
      </w:r>
    </w:p>
    <w:p>
      <w:pPr>
        <w:pStyle w:val="ListParagraph"/>
        <w:numPr>
          <w:ilvl w:val="0"/>
          <w:numId w:val="2"/>
        </w:numPr>
        <w:spacing w:after="100" w:line="320"/>
      </w:pPr>
      <w:r>
        <w:rPr>
          <w:rFonts w:ascii="Times New Roman" w:cs="Times New Roman" w:eastAsia="Times New Roman" w:hAnsi="Times New Roman"/>
          <w:sz w:val="24"/>
          <w:szCs w:val="24"/>
        </w:rPr>
        <w:t xml:space="preserve">FDR — Flight Data Recorder.</w:t>
      </w:r>
    </w:p>
    <w:p>
      <w:pPr>
        <w:pStyle w:val="ListParagraph"/>
        <w:numPr>
          <w:ilvl w:val="0"/>
          <w:numId w:val="2"/>
        </w:numPr>
        <w:spacing w:after="100" w:line="320"/>
      </w:pPr>
      <w:r>
        <w:rPr>
          <w:rFonts w:ascii="Times New Roman" w:cs="Times New Roman" w:eastAsia="Times New Roman" w:hAnsi="Times New Roman"/>
          <w:sz w:val="24"/>
          <w:szCs w:val="24"/>
        </w:rPr>
        <w:t xml:space="preserve">GEnx-1B — the General Electric turbofan engine model fitted to the accident aircraft.</w:t>
      </w:r>
    </w:p>
    <w:p>
      <w:pPr>
        <w:pStyle w:val="ListParagraph"/>
        <w:numPr>
          <w:ilvl w:val="0"/>
          <w:numId w:val="2"/>
        </w:numPr>
        <w:spacing w:after="100" w:line="320"/>
      </w:pPr>
      <w:r>
        <w:rPr>
          <w:rFonts w:ascii="Times New Roman" w:cs="Times New Roman" w:eastAsia="Times New Roman" w:hAnsi="Times New Roman"/>
          <w:sz w:val="24"/>
          <w:szCs w:val="24"/>
        </w:rPr>
        <w:t xml:space="preserve">MEL — Minimum Equipment List, the approved list of equipment that may be inoperative for a flight to legally proceed, subject to conditions.</w:t>
      </w:r>
    </w:p>
    <w:p>
      <w:pPr>
        <w:pStyle w:val="ListParagraph"/>
        <w:numPr>
          <w:ilvl w:val="0"/>
          <w:numId w:val="2"/>
        </w:numPr>
        <w:spacing w:after="100" w:line="320"/>
      </w:pPr>
      <w:r>
        <w:rPr>
          <w:rFonts w:ascii="Times New Roman" w:cs="Times New Roman" w:eastAsia="Times New Roman" w:hAnsi="Times New Roman"/>
          <w:sz w:val="24"/>
          <w:szCs w:val="24"/>
        </w:rPr>
        <w:t xml:space="preserve">NTSB — U.S. National Transportation Safety Board, the American investigating authority.</w:t>
      </w:r>
    </w:p>
    <w:p>
      <w:pPr>
        <w:pStyle w:val="ListParagraph"/>
        <w:numPr>
          <w:ilvl w:val="0"/>
          <w:numId w:val="2"/>
        </w:numPr>
        <w:spacing w:after="100" w:line="320"/>
      </w:pPr>
      <w:r>
        <w:rPr>
          <w:rFonts w:ascii="Times New Roman" w:cs="Times New Roman" w:eastAsia="Times New Roman" w:hAnsi="Times New Roman"/>
          <w:sz w:val="24"/>
          <w:szCs w:val="24"/>
        </w:rPr>
        <w:t xml:space="preserve">OCC — Operations Control Centre, an operator's centralised flight-dispatch and operational-control function.</w:t>
      </w:r>
    </w:p>
    <w:p>
      <w:pPr>
        <w:pStyle w:val="ListParagraph"/>
        <w:numPr>
          <w:ilvl w:val="0"/>
          <w:numId w:val="2"/>
        </w:numPr>
        <w:spacing w:after="100" w:line="320"/>
      </w:pPr>
      <w:r>
        <w:rPr>
          <w:rFonts w:ascii="Times New Roman" w:cs="Times New Roman" w:eastAsia="Times New Roman" w:hAnsi="Times New Roman"/>
          <w:sz w:val="24"/>
          <w:szCs w:val="24"/>
        </w:rPr>
        <w:t xml:space="preserve">RAT — Ram Air Turbine, an emergency air-driven generator that deploys on major loss of engine power.</w:t>
      </w:r>
    </w:p>
    <w:p>
      <w:pPr>
        <w:pStyle w:val="ListParagraph"/>
        <w:numPr>
          <w:ilvl w:val="0"/>
          <w:numId w:val="2"/>
        </w:numPr>
        <w:spacing w:after="100" w:line="320"/>
      </w:pPr>
      <w:r>
        <w:rPr>
          <w:rFonts w:ascii="Times New Roman" w:cs="Times New Roman" w:eastAsia="Times New Roman" w:hAnsi="Times New Roman"/>
          <w:sz w:val="24"/>
          <w:szCs w:val="24"/>
        </w:rPr>
        <w:t xml:space="preserve">SMS — Safety Management System, a formal, operator-run framework for hazard identification and safety risk management.</w:t>
      </w:r>
    </w:p>
    <w:p>
      <w:pPr>
        <w:pStyle w:val="ListParagraph"/>
        <w:numPr>
          <w:ilvl w:val="0"/>
          <w:numId w:val="2"/>
        </w:numPr>
        <w:spacing w:after="100" w:line="320"/>
      </w:pPr>
      <w:r>
        <w:rPr>
          <w:rFonts w:ascii="Times New Roman" w:cs="Times New Roman" w:eastAsia="Times New Roman" w:hAnsi="Times New Roman"/>
          <w:sz w:val="24"/>
          <w:szCs w:val="24"/>
        </w:rPr>
        <w:t xml:space="preserve">TCMA — Thrust Control Malfunction Accommodation, a protective software logic that can command a reduction or shutdown of engine thrust under specific detected fault conditions.</w:t>
      </w:r>
    </w:p>
    <w:p>
      <w:pPr>
        <w:pStyle w:val="Heading1"/>
        <w:spacing w:after="180" w:before="360"/>
      </w:pPr>
      <w:r>
        <w:rPr>
          <w:rFonts w:ascii="Times New Roman" w:cs="Times New Roman" w:eastAsia="Times New Roman" w:hAnsi="Times New Roman"/>
          <w:b/>
          <w:bCs/>
          <w:sz w:val="28"/>
          <w:szCs w:val="28"/>
          <w:u w:val="single"/>
        </w:rPr>
        <w:t xml:space="preserve">16. Bibliography and Further Reading</w:t>
      </w:r>
    </w:p>
    <w:p>
      <w:pPr>
        <w:spacing w:after="200" w:line="336"/>
        <w:ind w:firstLine="360"/>
        <w:jc w:val="both"/>
      </w:pPr>
      <w:r>
        <w:rPr>
          <w:rFonts w:ascii="Times New Roman" w:cs="Times New Roman" w:eastAsia="Times New Roman" w:hAnsi="Times New Roman"/>
          <w:sz w:val="24"/>
          <w:szCs w:val="24"/>
        </w:rPr>
        <w:t xml:space="preserve">Delegates should independently verify every fact against primary sources before the conference, and should treat this list as a starting point rather than a complete research base.</w:t>
      </w:r>
    </w:p>
    <w:p>
      <w:pPr>
        <w:pStyle w:val="ListParagraph"/>
        <w:numPr>
          <w:ilvl w:val="0"/>
          <w:numId w:val="2"/>
        </w:numPr>
        <w:spacing w:after="100" w:line="320"/>
      </w:pPr>
      <w:r>
        <w:rPr>
          <w:rFonts w:ascii="Times New Roman" w:cs="Times New Roman" w:eastAsia="Times New Roman" w:hAnsi="Times New Roman"/>
          <w:sz w:val="24"/>
          <w:szCs w:val="24"/>
        </w:rPr>
        <w:t xml:space="preserve">Aircraft Accident Investigation Bureau (India), preliminary report on Air India Flight AI171, published 12 July 2025, and subsequent public statements, including the AAIB's first-anniversary statement and its submissions to the Supreme Court of India.</w:t>
      </w:r>
    </w:p>
    <w:p>
      <w:pPr>
        <w:pStyle w:val="ListParagraph"/>
        <w:numPr>
          <w:ilvl w:val="0"/>
          <w:numId w:val="2"/>
        </w:numPr>
        <w:spacing w:after="100" w:line="320"/>
      </w:pPr>
      <w:r>
        <w:rPr>
          <w:rFonts w:ascii="Times New Roman" w:cs="Times New Roman" w:eastAsia="Times New Roman" w:hAnsi="Times New Roman"/>
          <w:sz w:val="24"/>
          <w:szCs w:val="24"/>
        </w:rPr>
        <w:t xml:space="preserve">International Civil Aviation Organization, Annex 13 to the Convention on International Civil Aviation, "Aircraft Accident and Incident Investigation."</w:t>
      </w:r>
    </w:p>
    <w:p>
      <w:pPr>
        <w:pStyle w:val="ListParagraph"/>
        <w:numPr>
          <w:ilvl w:val="0"/>
          <w:numId w:val="2"/>
        </w:numPr>
        <w:spacing w:after="100" w:line="320"/>
      </w:pPr>
      <w:r>
        <w:rPr>
          <w:rFonts w:ascii="Times New Roman" w:cs="Times New Roman" w:eastAsia="Times New Roman" w:hAnsi="Times New Roman"/>
          <w:sz w:val="24"/>
          <w:szCs w:val="24"/>
        </w:rPr>
        <w:t xml:space="preserve">Government of India, Ministry of Civil Aviation, the Aircraft (Investigation of Accidents and Incidents) Rules, 2017.</w:t>
      </w:r>
    </w:p>
    <w:p>
      <w:pPr>
        <w:pStyle w:val="ListParagraph"/>
        <w:numPr>
          <w:ilvl w:val="0"/>
          <w:numId w:val="2"/>
        </w:numPr>
        <w:spacing w:after="100" w:line="320"/>
      </w:pPr>
      <w:r>
        <w:rPr>
          <w:rFonts w:ascii="Times New Roman" w:cs="Times New Roman" w:eastAsia="Times New Roman" w:hAnsi="Times New Roman"/>
          <w:sz w:val="24"/>
          <w:szCs w:val="24"/>
        </w:rPr>
        <w:t xml:space="preserve">DGCA, Civil Aviation Requirements, including the Section 1 Series C Part I requirement on Safety Management Systems and the Series governing approval of maintenance and repair organisations, available on the DGCA website.</w:t>
      </w:r>
    </w:p>
    <w:p>
      <w:pPr>
        <w:pStyle w:val="ListParagraph"/>
        <w:numPr>
          <w:ilvl w:val="0"/>
          <w:numId w:val="2"/>
        </w:numPr>
        <w:spacing w:after="100" w:line="320"/>
      </w:pPr>
      <w:r>
        <w:rPr>
          <w:rFonts w:ascii="Times New Roman" w:cs="Times New Roman" w:eastAsia="Times New Roman" w:hAnsi="Times New Roman"/>
          <w:sz w:val="24"/>
          <w:szCs w:val="24"/>
        </w:rPr>
        <w:t xml:space="preserve">Publicly available Boeing 787 and GEnx-1B systems overviews and type-certification summaries.</w:t>
      </w:r>
    </w:p>
    <w:p>
      <w:pPr>
        <w:pStyle w:val="ListParagraph"/>
        <w:numPr>
          <w:ilvl w:val="0"/>
          <w:numId w:val="2"/>
        </w:numPr>
        <w:spacing w:after="100" w:line="320"/>
      </w:pPr>
      <w:r>
        <w:rPr>
          <w:rFonts w:ascii="Times New Roman" w:cs="Times New Roman" w:eastAsia="Times New Roman" w:hAnsi="Times New Roman"/>
          <w:sz w:val="24"/>
          <w:szCs w:val="24"/>
        </w:rPr>
        <w:t xml:space="preserve">Public statements and formal submissions of the Federation of Indian Pilots concerning the AI171 investigation.</w:t>
      </w:r>
    </w:p>
    <w:p>
      <w:pPr>
        <w:pStyle w:val="ListParagraph"/>
        <w:numPr>
          <w:ilvl w:val="0"/>
          <w:numId w:val="2"/>
        </w:numPr>
        <w:spacing w:after="100" w:line="320"/>
      </w:pPr>
      <w:r>
        <w:rPr>
          <w:rFonts w:ascii="Times New Roman" w:cs="Times New Roman" w:eastAsia="Times New Roman" w:hAnsi="Times New Roman"/>
          <w:sz w:val="24"/>
          <w:szCs w:val="24"/>
        </w:rPr>
        <w:t xml:space="preserve">Reporting and analysis on the 2018 Lion Air Flight 610 and 2019 Ethiopian Airlines Flight 302 accidents, for background on automation and human-factors debates in modern jet transport aircraft.</w:t>
      </w:r>
    </w:p>
    <w:p>
      <w:pPr>
        <w:pStyle w:val="ListParagraph"/>
        <w:numPr>
          <w:ilvl w:val="0"/>
          <w:numId w:val="2"/>
        </w:numPr>
        <w:spacing w:after="100" w:line="320"/>
      </w:pPr>
      <w:r>
        <w:rPr>
          <w:rFonts w:ascii="Times New Roman" w:cs="Times New Roman" w:eastAsia="Times New Roman" w:hAnsi="Times New Roman"/>
          <w:sz w:val="24"/>
          <w:szCs w:val="24"/>
        </w:rPr>
        <w:t xml:space="preserve">Contemporaneous reporting on the AI171 preliminary report and the investigation's status through 2025 and 2026 from established aviation-industry publications.</w:t>
      </w:r>
    </w:p>
    <w:p>
      <w:pPr>
        <w:spacing w:before="400"/>
      </w:pPr>
      <w:r>
        <w:rPr>
          <w:rFonts w:ascii="Times New Roman" w:cs="Times New Roman" w:eastAsia="Times New Roman" w:hAnsi="Times New Roman"/>
          <w:i/>
          <w:iCs/>
          <w:sz w:val="20"/>
          <w:szCs w:val="20"/>
        </w:rPr>
        <w:t xml:space="preserve">This guide is prepared solely for the educational purposes of the SHISMUN 2026 committee simulation. It reflects publicly available preliminary findings as of its preparation; the real investigation remains open, and no final probable cause had been published. Delegates are asked to approach both the accident and the people affected by it with appropriate seriousness and respect throughout the conference.</w:t>
      </w:r>
    </w:p>
    <w:sectPr>
      <w:headerReference w:type="default" r:id="rId9"/>
      <w:footerReference w:type="default" r:id="rId10"/>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Times New Roman" w:cs="Times New Roman" w:eastAsia="Times New Roman" w:hAnsi="Times New Roman"/>
        <w:sz w:val="20"/>
        <w:szCs w:val="20"/>
      </w:rPr>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Times New Roman" w:cs="Times New Roman" w:eastAsia="Times New Roman" w:hAnsi="Times New Roman"/>
        <w:sz w:val="20"/>
        <w:szCs w:val="20"/>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Times New Roman" w:cs="Times New Roman" w:eastAsia="Times New Roman" w:hAnsi="Times New Roman"/>
        <w:sz w:val="16"/>
        <w:szCs w:val="16"/>
      </w:rPr>
      <w:t xml:space="preserve">Aircraft Accident Investigation Bureau — Background Guide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Times New Roman" w:cs="Times New Roman" w:eastAsia="Times New Roman" w:hAnsi="Times New Roman"/>
        <w:sz w:val="16"/>
        <w:szCs w:val="16"/>
      </w:rPr>
      <w:t xml:space="preserve">Aircraft Accident Investigation Bureau — Background Guide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00" w:hanging="260"/>
      </w:pPr>
    </w:lvl>
    <w:lvl w:ilvl="1" w15:tentative="1">
      <w:start w:val="1"/>
      <w:numFmt w:val="bullet"/>
      <w:lvlText w:val="o"/>
      <w:lvlJc w:val="left"/>
      <w:pPr>
        <w:ind w:left="860" w:hanging="260"/>
      </w:pPr>
    </w:lvl>
  </w:abstractNum>
  <w:abstractNum w:abstractNumId="3" w15:restartNumberingAfterBreak="0">
    <w:multiLevelType w:val="hybridMultilevel"/>
    <w:lvl w:ilvl="0" w15:tentative="1">
      <w:start w:val="1"/>
      <w:numFmt w:val="decimal"/>
      <w:lvlText w:val="%1."/>
      <w:lvlJc w:val="left"/>
      <w:pPr>
        <w:ind w:left="500" w:hanging="30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Times New Roman" w:cs="Times New Roman" w:eastAsia="Times New Roman" w:hAnsi="Times New Roman"/>
    </w:rPr>
  </w:style>
  <w:style w:type="paragraph" w:styleId="Heading2">
    <w:name w:val="Heading 2"/>
    <w:basedOn w:val="Normal"/>
    <w:next w:val="Normal"/>
    <w:qFormat/>
    <w:rPr>
      <w:rFonts w:ascii="Times New Roman" w:cs="Times New Roman" w:eastAsia="Times New Roman" w:hAnsi="Times New Roman"/>
    </w:rPr>
  </w:style>
  <w:style w:type="paragraph" w:styleId="Heading3">
    <w:name w:val="Heading 3"/>
    <w:basedOn w:val="Normal"/>
    <w:next w:val="Normal"/>
    <w:qFormat/>
    <w:rPr>
      <w:rFonts w:ascii="Times New Roman" w:cs="Times New Roman" w:eastAsia="Times New Roman" w:hAnsi="Times New Roman"/>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header" Target="header2.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2026-07-29T11:55:39.991Z</dcterms:created>
  <dcterms:modified xsi:type="dcterms:W3CDTF">2026-07-29T11:55:40.007Z</dcterms:modified>
</cp:coreProperties>
</file>

<file path=docProps/custom.xml><?xml version="1.0" encoding="utf-8"?>
<Properties xmlns="http://schemas.openxmlformats.org/officeDocument/2006/custom-properties" xmlns:vt="http://schemas.openxmlformats.org/officeDocument/2006/docPropsVTypes"/>
</file>